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D1" w:rsidRPr="00B506D2" w:rsidRDefault="005D06EB" w:rsidP="003564AF">
      <w:pPr>
        <w:pStyle w:val="Title1"/>
        <w:rPr>
          <w:rFonts w:hint="eastAsia"/>
        </w:rPr>
      </w:pPr>
      <w:bookmarkStart w:id="0" w:name="_GoBack"/>
      <w:bookmarkEnd w:id="0"/>
      <w:r>
        <w:rPr>
          <w:rFonts w:hint="eastAsia"/>
          <w:noProof/>
          <w:lang w:val="en-US" w:eastAsia="ja-JP"/>
        </w:rPr>
        <w:pict>
          <v:shapetype id="_x0000_t202" coordsize="21600,21600" o:spt="202" path="m,l,21600r21600,l21600,xe">
            <v:stroke joinstyle="miter"/>
            <v:path gradientshapeok="t" o:connecttype="rect"/>
          </v:shapetype>
          <v:shape id="_x0000_s1026" type="#_x0000_t202" style="position:absolute;left:0;text-align:left;margin-left:353.45pt;margin-top:-28.55pt;width:89.85pt;height:36.75pt;z-index:251657728;mso-height-percent:200;mso-height-percent:200;mso-width-relative:margin;mso-height-relative:margin" filled="f" stroked="f">
            <v:textbox style="mso-next-textbox:#_x0000_s1026;mso-fit-shape-to-text:t">
              <w:txbxContent>
                <w:p w:rsidR="00083F3C" w:rsidRPr="007D2E56" w:rsidRDefault="00083F3C" w:rsidP="00083F3C">
                  <w:pPr>
                    <w:ind w:firstLine="240"/>
                    <w:jc w:val="center"/>
                    <w:rPr>
                      <w:rFonts w:ascii="ＭＳ ゴシック" w:hAnsi="ＭＳ ゴシック"/>
                      <w:sz w:val="24"/>
                    </w:rPr>
                  </w:pPr>
                  <w:r>
                    <w:rPr>
                      <w:rFonts w:ascii="ＭＳ ゴシック" w:hAnsi="ＭＳ ゴシック" w:hint="eastAsia"/>
                      <w:sz w:val="24"/>
                    </w:rPr>
                    <w:t>資料２－５</w:t>
                  </w:r>
                </w:p>
              </w:txbxContent>
            </v:textbox>
          </v:shape>
        </w:pict>
      </w:r>
      <w:r w:rsidR="00EC1E76">
        <w:rPr>
          <w:rFonts w:hint="eastAsia"/>
        </w:rPr>
        <w:t>２０１</w:t>
      </w:r>
      <w:r w:rsidR="00EC1E76">
        <w:rPr>
          <w:rFonts w:hint="eastAsia"/>
          <w:lang w:eastAsia="ja-JP"/>
        </w:rPr>
        <w:t>１</w:t>
      </w:r>
      <w:r w:rsidR="005613D1" w:rsidRPr="00B506D2">
        <w:t>年</w:t>
      </w:r>
      <w:r w:rsidR="00EC1E76">
        <w:rPr>
          <w:rFonts w:hint="eastAsia"/>
          <w:lang w:eastAsia="ja-JP"/>
        </w:rPr>
        <w:t>６</w:t>
      </w:r>
      <w:r w:rsidR="005613D1" w:rsidRPr="00B506D2">
        <w:t>月</w:t>
      </w:r>
      <w:r w:rsidR="005C506F" w:rsidRPr="00B506D2">
        <w:rPr>
          <w:rFonts w:hint="eastAsia"/>
        </w:rPr>
        <w:t xml:space="preserve">　</w:t>
      </w:r>
      <w:r w:rsidR="00214A14" w:rsidRPr="00B506D2">
        <w:rPr>
          <w:rFonts w:hint="eastAsia"/>
        </w:rPr>
        <w:t xml:space="preserve">ＩＴＵ－Ｒ　</w:t>
      </w:r>
      <w:r w:rsidR="00B32178" w:rsidRPr="00B506D2">
        <w:rPr>
          <w:rFonts w:hint="eastAsia"/>
        </w:rPr>
        <w:t>ＳＧ１</w:t>
      </w:r>
      <w:r w:rsidR="005613D1" w:rsidRPr="00B506D2">
        <w:t>会合報告書</w:t>
      </w:r>
    </w:p>
    <w:p w:rsidR="00864FA4" w:rsidRPr="00864FA4" w:rsidRDefault="00864FA4" w:rsidP="00864FA4"/>
    <w:p w:rsidR="00864FA4" w:rsidRPr="00C31137" w:rsidRDefault="00864FA4" w:rsidP="00C31137">
      <w:r w:rsidRPr="00C31137">
        <w:rPr>
          <w:rFonts w:hint="eastAsia"/>
        </w:rPr>
        <w:t>【会合名称】</w:t>
      </w:r>
      <w:r w:rsidRPr="00C31137">
        <w:rPr>
          <w:rFonts w:hint="eastAsia"/>
        </w:rPr>
        <w:tab/>
        <w:t>ITU-R SG1</w:t>
      </w:r>
      <w:r w:rsidRPr="00C31137">
        <w:rPr>
          <w:rFonts w:hint="eastAsia"/>
        </w:rPr>
        <w:t>会合</w:t>
      </w:r>
    </w:p>
    <w:p w:rsidR="00864FA4" w:rsidRPr="00C31137" w:rsidRDefault="002F278E" w:rsidP="00C31137">
      <w:r>
        <w:rPr>
          <w:rFonts w:hint="eastAsia"/>
        </w:rPr>
        <w:t xml:space="preserve">　　　　　　　</w:t>
      </w:r>
      <w:r w:rsidR="00864FA4" w:rsidRPr="00C31137">
        <w:rPr>
          <w:rFonts w:hint="eastAsia"/>
        </w:rPr>
        <w:t>（周波数管理に関する研究委員会）</w:t>
      </w:r>
    </w:p>
    <w:p w:rsidR="00864FA4" w:rsidRPr="00C31137" w:rsidRDefault="00864FA4" w:rsidP="00C31137">
      <w:r w:rsidRPr="00C31137">
        <w:rPr>
          <w:rFonts w:hint="eastAsia"/>
        </w:rPr>
        <w:t>【会期】</w:t>
      </w:r>
      <w:r w:rsidR="00F01C04">
        <w:rPr>
          <w:rFonts w:hint="eastAsia"/>
        </w:rPr>
        <w:tab/>
      </w:r>
      <w:r w:rsidRPr="00C31137">
        <w:rPr>
          <w:rFonts w:hint="eastAsia"/>
        </w:rPr>
        <w:t>２０１１年６月２日</w:t>
      </w:r>
    </w:p>
    <w:p w:rsidR="00864FA4" w:rsidRPr="00C31137" w:rsidRDefault="00864FA4" w:rsidP="00C31137">
      <w:r w:rsidRPr="00C31137">
        <w:rPr>
          <w:rFonts w:hint="eastAsia"/>
        </w:rPr>
        <w:t>【開催場所】</w:t>
      </w:r>
      <w:r w:rsidRPr="00C31137">
        <w:rPr>
          <w:rFonts w:hint="eastAsia"/>
        </w:rPr>
        <w:tab/>
      </w:r>
      <w:r w:rsidRPr="00C31137">
        <w:rPr>
          <w:rFonts w:hint="eastAsia"/>
        </w:rPr>
        <w:t xml:space="preserve">スイス・ジュネーブ　</w:t>
      </w:r>
      <w:r w:rsidRPr="00C31137">
        <w:rPr>
          <w:rFonts w:hint="eastAsia"/>
        </w:rPr>
        <w:t>ITU</w:t>
      </w:r>
      <w:r w:rsidRPr="00C31137">
        <w:rPr>
          <w:rFonts w:hint="eastAsia"/>
        </w:rPr>
        <w:t>本部</w:t>
      </w:r>
    </w:p>
    <w:p w:rsidR="00864FA4" w:rsidRPr="00C31137" w:rsidRDefault="00864FA4" w:rsidP="00C31137">
      <w:pPr>
        <w:rPr>
          <w:highlight w:val="green"/>
        </w:rPr>
      </w:pPr>
      <w:r w:rsidRPr="00C31137">
        <w:rPr>
          <w:rFonts w:hint="eastAsia"/>
        </w:rPr>
        <w:t>【概要】</w:t>
      </w:r>
    </w:p>
    <w:p w:rsidR="005613D1" w:rsidRPr="00E95B31" w:rsidRDefault="005613D1" w:rsidP="00E95B31">
      <w:r w:rsidRPr="00E95B31">
        <w:t>本会合は、今研究期間における第</w:t>
      </w:r>
      <w:r w:rsidR="004D7A6A" w:rsidRPr="00E95B31">
        <w:rPr>
          <w:rFonts w:hint="eastAsia"/>
        </w:rPr>
        <w:t>４</w:t>
      </w:r>
      <w:r w:rsidRPr="00E95B31">
        <w:t>回会合である。</w:t>
      </w:r>
      <w:r w:rsidR="00E7776A" w:rsidRPr="00E95B31">
        <w:rPr>
          <w:rFonts w:hint="eastAsia"/>
        </w:rPr>
        <w:t>33</w:t>
      </w:r>
      <w:r w:rsidR="009064B2" w:rsidRPr="00E95B31">
        <w:rPr>
          <w:rFonts w:hint="eastAsia"/>
        </w:rPr>
        <w:t xml:space="preserve"> </w:t>
      </w:r>
      <w:r w:rsidRPr="00E95B31">
        <w:t>ヶ国の主管庁と</w:t>
      </w:r>
      <w:r w:rsidR="00E7776A" w:rsidRPr="00E95B31">
        <w:rPr>
          <w:rFonts w:hint="eastAsia"/>
        </w:rPr>
        <w:t>9</w:t>
      </w:r>
      <w:r w:rsidR="00346400" w:rsidRPr="00E95B31">
        <w:rPr>
          <w:rFonts w:hint="eastAsia"/>
        </w:rPr>
        <w:t>の認められた通信、放送、科学技術、工業団体、地域</w:t>
      </w:r>
      <w:r w:rsidR="00B42A15" w:rsidRPr="00E95B31">
        <w:rPr>
          <w:rFonts w:hint="eastAsia"/>
        </w:rPr>
        <w:t>及び</w:t>
      </w:r>
      <w:r w:rsidR="00346400" w:rsidRPr="00E95B31">
        <w:rPr>
          <w:rFonts w:hint="eastAsia"/>
        </w:rPr>
        <w:t>国際機関並びに</w:t>
      </w:r>
      <w:r w:rsidRPr="00E95B31">
        <w:t>事務局より</w:t>
      </w:r>
      <w:r w:rsidR="003D1FD8" w:rsidRPr="00E95B31">
        <w:rPr>
          <w:rFonts w:hint="eastAsia"/>
        </w:rPr>
        <w:t>計</w:t>
      </w:r>
      <w:r w:rsidR="00E7776A" w:rsidRPr="00E95B31">
        <w:rPr>
          <w:rFonts w:hint="eastAsia"/>
        </w:rPr>
        <w:t>106</w:t>
      </w:r>
      <w:r w:rsidRPr="00E95B31">
        <w:t>名が参加した。日本から</w:t>
      </w:r>
      <w:r w:rsidR="006301AF" w:rsidRPr="00E95B31">
        <w:rPr>
          <w:rFonts w:hint="eastAsia"/>
        </w:rPr>
        <w:t>の</w:t>
      </w:r>
      <w:r w:rsidRPr="00E95B31">
        <w:t>参加者は、</w:t>
      </w:r>
      <w:r w:rsidR="00E7776A" w:rsidRPr="00E95B31">
        <w:rPr>
          <w:rFonts w:hint="eastAsia"/>
        </w:rPr>
        <w:t>岩元、中村、郷藤</w:t>
      </w:r>
      <w:r w:rsidR="00B42A15" w:rsidRPr="00E95B31">
        <w:rPr>
          <w:rFonts w:hint="eastAsia"/>
        </w:rPr>
        <w:t>（総務省）</w:t>
      </w:r>
      <w:r w:rsidR="00D94ABF" w:rsidRPr="00E95B31">
        <w:rPr>
          <w:rFonts w:hint="eastAsia"/>
        </w:rPr>
        <w:t>、小坂（</w:t>
      </w:r>
      <w:r w:rsidR="00D94ABF" w:rsidRPr="00E95B31">
        <w:rPr>
          <w:rFonts w:hint="eastAsia"/>
        </w:rPr>
        <w:t>NICT</w:t>
      </w:r>
      <w:r w:rsidR="00D94ABF" w:rsidRPr="00E95B31">
        <w:rPr>
          <w:rFonts w:hint="eastAsia"/>
        </w:rPr>
        <w:t>）、</w:t>
      </w:r>
      <w:r w:rsidR="00E7776A" w:rsidRPr="00E95B31">
        <w:rPr>
          <w:rFonts w:hint="eastAsia"/>
        </w:rPr>
        <w:t>服部、高部（</w:t>
      </w:r>
      <w:r w:rsidR="00E7776A" w:rsidRPr="00E95B31">
        <w:rPr>
          <w:rFonts w:hint="eastAsia"/>
        </w:rPr>
        <w:t>NTT</w:t>
      </w:r>
      <w:r w:rsidR="00E7776A" w:rsidRPr="00E95B31">
        <w:rPr>
          <w:rFonts w:hint="eastAsia"/>
        </w:rPr>
        <w:t>アドバンステクノロジ）、北沢（</w:t>
      </w:r>
      <w:r w:rsidR="00E7776A" w:rsidRPr="00E95B31">
        <w:rPr>
          <w:rFonts w:hint="eastAsia"/>
        </w:rPr>
        <w:t>K&amp;A</w:t>
      </w:r>
      <w:r w:rsidR="00E7776A" w:rsidRPr="00E95B31">
        <w:rPr>
          <w:rFonts w:hint="eastAsia"/>
        </w:rPr>
        <w:t>スペクトラムインテグレーション）、</w:t>
      </w:r>
      <w:r w:rsidR="0043230C" w:rsidRPr="00E95B31">
        <w:rPr>
          <w:rFonts w:hint="eastAsia"/>
        </w:rPr>
        <w:t>森</w:t>
      </w:r>
      <w:r w:rsidR="00EF68D6" w:rsidRPr="00E95B31">
        <w:rPr>
          <w:rFonts w:hint="eastAsia"/>
        </w:rPr>
        <w:t>（</w:t>
      </w:r>
      <w:r w:rsidR="0043230C" w:rsidRPr="00E95B31">
        <w:rPr>
          <w:rFonts w:hint="eastAsia"/>
        </w:rPr>
        <w:t>ワシントンコア</w:t>
      </w:r>
      <w:r w:rsidR="00787510" w:rsidRPr="00E95B31">
        <w:rPr>
          <w:rFonts w:hint="eastAsia"/>
        </w:rPr>
        <w:t>）</w:t>
      </w:r>
      <w:r w:rsidR="00856A0B" w:rsidRPr="00E95B31">
        <w:rPr>
          <w:rFonts w:hint="eastAsia"/>
        </w:rPr>
        <w:t>の</w:t>
      </w:r>
      <w:r w:rsidR="00E7776A" w:rsidRPr="00E95B31">
        <w:rPr>
          <w:rFonts w:hint="eastAsia"/>
        </w:rPr>
        <w:t>8</w:t>
      </w:r>
      <w:r w:rsidRPr="00E95B31">
        <w:t>名である。</w:t>
      </w:r>
    </w:p>
    <w:p w:rsidR="00D94ABF" w:rsidRPr="00A85CB4" w:rsidRDefault="00A41C2C" w:rsidP="00E95B31">
      <w:r w:rsidRPr="00A85CB4">
        <w:rPr>
          <w:rFonts w:hint="eastAsia"/>
        </w:rPr>
        <w:t>WP1A</w:t>
      </w:r>
      <w:r w:rsidR="00D90F19" w:rsidRPr="00A85CB4">
        <w:rPr>
          <w:rFonts w:hint="eastAsia"/>
        </w:rPr>
        <w:t>、</w:t>
      </w:r>
      <w:r w:rsidRPr="00A85CB4">
        <w:rPr>
          <w:rFonts w:hint="eastAsia"/>
        </w:rPr>
        <w:t>1B</w:t>
      </w:r>
      <w:r w:rsidR="00D90F19" w:rsidRPr="00A85CB4">
        <w:rPr>
          <w:rFonts w:hint="eastAsia"/>
        </w:rPr>
        <w:t>及び</w:t>
      </w:r>
      <w:r w:rsidRPr="00A85CB4">
        <w:rPr>
          <w:rFonts w:hint="eastAsia"/>
        </w:rPr>
        <w:t>1C</w:t>
      </w:r>
      <w:r w:rsidR="00D90F19" w:rsidRPr="00A85CB4">
        <w:rPr>
          <w:rFonts w:hint="eastAsia"/>
        </w:rPr>
        <w:t>からの寄書及び</w:t>
      </w:r>
      <w:r w:rsidR="005A6B05" w:rsidRPr="00A85CB4">
        <w:t>他グループからのリエゾン文書</w:t>
      </w:r>
      <w:r w:rsidR="00703062" w:rsidRPr="00A85CB4">
        <w:rPr>
          <w:rFonts w:hint="eastAsia"/>
        </w:rPr>
        <w:t>等</w:t>
      </w:r>
      <w:r w:rsidR="005A6B05" w:rsidRPr="00A85CB4">
        <w:t>を含め計</w:t>
      </w:r>
      <w:r w:rsidR="00A85CB4" w:rsidRPr="00A85CB4">
        <w:rPr>
          <w:rFonts w:hint="eastAsia"/>
        </w:rPr>
        <w:t>42</w:t>
      </w:r>
      <w:r w:rsidR="005A6B05" w:rsidRPr="00A85CB4">
        <w:t>件の文書が入力され、</w:t>
      </w:r>
      <w:r w:rsidR="0005153F" w:rsidRPr="00A85CB4">
        <w:rPr>
          <w:rFonts w:hint="eastAsia"/>
        </w:rPr>
        <w:t>新勧告案</w:t>
      </w:r>
      <w:r w:rsidR="00A85CB4" w:rsidRPr="00A85CB4">
        <w:rPr>
          <w:rFonts w:hint="eastAsia"/>
        </w:rPr>
        <w:t>1</w:t>
      </w:r>
      <w:r w:rsidR="0005153F" w:rsidRPr="00A85CB4">
        <w:rPr>
          <w:rFonts w:hint="eastAsia"/>
        </w:rPr>
        <w:t>件</w:t>
      </w:r>
      <w:r w:rsidR="00787510" w:rsidRPr="00A85CB4">
        <w:rPr>
          <w:rFonts w:hint="eastAsia"/>
        </w:rPr>
        <w:t>、改定勧告案</w:t>
      </w:r>
      <w:r w:rsidR="00A85CB4" w:rsidRPr="00A85CB4">
        <w:rPr>
          <w:rFonts w:hint="eastAsia"/>
        </w:rPr>
        <w:t>7</w:t>
      </w:r>
      <w:r w:rsidR="00787510" w:rsidRPr="00A85CB4">
        <w:rPr>
          <w:rFonts w:hint="eastAsia"/>
        </w:rPr>
        <w:t>件</w:t>
      </w:r>
      <w:r w:rsidR="0005153F" w:rsidRPr="00A85CB4">
        <w:rPr>
          <w:rFonts w:hint="eastAsia"/>
        </w:rPr>
        <w:t>が採択され</w:t>
      </w:r>
      <w:r w:rsidR="00787510" w:rsidRPr="00A85CB4">
        <w:rPr>
          <w:rFonts w:hint="eastAsia"/>
        </w:rPr>
        <w:t>た。</w:t>
      </w:r>
      <w:r w:rsidR="00A85CB4" w:rsidRPr="00A85CB4">
        <w:rPr>
          <w:rFonts w:hint="eastAsia"/>
        </w:rPr>
        <w:t>なお、</w:t>
      </w:r>
      <w:r w:rsidR="00A85CB4" w:rsidRPr="00A85CB4">
        <w:rPr>
          <w:rFonts w:hint="eastAsia"/>
        </w:rPr>
        <w:t>WP1A</w:t>
      </w:r>
      <w:r w:rsidR="00A85CB4" w:rsidRPr="00A85CB4">
        <w:rPr>
          <w:rFonts w:hint="eastAsia"/>
        </w:rPr>
        <w:t>から提出されたスプリアス領域における不要輻射の許容値を修正する勧告</w:t>
      </w:r>
      <w:r w:rsidR="00A85CB4" w:rsidRPr="00A85CB4">
        <w:rPr>
          <w:rFonts w:hint="eastAsia"/>
        </w:rPr>
        <w:t>ITU-R SM.329-11</w:t>
      </w:r>
      <w:r w:rsidR="00A85CB4" w:rsidRPr="00A85CB4">
        <w:rPr>
          <w:rFonts w:hint="eastAsia"/>
        </w:rPr>
        <w:t>の改定案は議論しつくされていないとの理由から米国、中国、イランが反対し、承認されなかった。</w:t>
      </w:r>
      <w:r w:rsidR="00057CFD" w:rsidRPr="00A85CB4">
        <w:rPr>
          <w:rFonts w:hint="eastAsia"/>
        </w:rPr>
        <w:t>本会合における</w:t>
      </w:r>
      <w:r w:rsidR="006F5168" w:rsidRPr="00A85CB4">
        <w:rPr>
          <w:rFonts w:hint="eastAsia"/>
        </w:rPr>
        <w:t>その他の主な審議結果は以下の通り。</w:t>
      </w:r>
    </w:p>
    <w:p w:rsidR="00A85CB4" w:rsidRPr="00A85CB4" w:rsidRDefault="00F66880" w:rsidP="00A85CB4">
      <w:pPr>
        <w:pStyle w:val="a"/>
      </w:pPr>
      <w:r w:rsidRPr="00A85CB4">
        <w:rPr>
          <w:rFonts w:hint="eastAsia"/>
        </w:rPr>
        <w:t>ITU-R</w:t>
      </w:r>
      <w:r w:rsidRPr="00A85CB4">
        <w:rPr>
          <w:rFonts w:hint="eastAsia"/>
        </w:rPr>
        <w:t>決議</w:t>
      </w:r>
      <w:r w:rsidRPr="00A85CB4">
        <w:rPr>
          <w:rFonts w:hint="eastAsia"/>
        </w:rPr>
        <w:t>1</w:t>
      </w:r>
      <w:r w:rsidR="00787510" w:rsidRPr="00A85CB4">
        <w:rPr>
          <w:rFonts w:hint="eastAsia"/>
        </w:rPr>
        <w:t>-5</w:t>
      </w:r>
      <w:r w:rsidRPr="00A85CB4">
        <w:rPr>
          <w:rFonts w:hint="eastAsia"/>
        </w:rPr>
        <w:t>による</w:t>
      </w:r>
      <w:r w:rsidRPr="00A85CB4">
        <w:rPr>
          <w:rFonts w:hint="eastAsia"/>
        </w:rPr>
        <w:t>Editorial</w:t>
      </w:r>
      <w:r w:rsidRPr="00A85CB4">
        <w:rPr>
          <w:rFonts w:hint="eastAsia"/>
        </w:rPr>
        <w:t>な勧告の修正</w:t>
      </w:r>
      <w:r w:rsidR="00787510" w:rsidRPr="00A85CB4">
        <w:rPr>
          <w:rFonts w:hint="eastAsia"/>
        </w:rPr>
        <w:t>を求める文書</w:t>
      </w:r>
      <w:r w:rsidR="00A85CB4" w:rsidRPr="00A85CB4">
        <w:rPr>
          <w:rFonts w:hint="eastAsia"/>
        </w:rPr>
        <w:t>3</w:t>
      </w:r>
      <w:r w:rsidR="00787510" w:rsidRPr="00A85CB4">
        <w:rPr>
          <w:rFonts w:hint="eastAsia"/>
        </w:rPr>
        <w:t>件が</w:t>
      </w:r>
      <w:r w:rsidR="005F6B31" w:rsidRPr="00A85CB4">
        <w:rPr>
          <w:rFonts w:hint="eastAsia"/>
        </w:rPr>
        <w:t>採択</w:t>
      </w:r>
      <w:r w:rsidRPr="00A85CB4">
        <w:rPr>
          <w:rFonts w:hint="eastAsia"/>
        </w:rPr>
        <w:t>され</w:t>
      </w:r>
      <w:r w:rsidR="00787510" w:rsidRPr="00A85CB4">
        <w:rPr>
          <w:rFonts w:hint="eastAsia"/>
        </w:rPr>
        <w:t>た（修正が</w:t>
      </w:r>
      <w:r w:rsidR="00B42A15" w:rsidRPr="00A85CB4">
        <w:rPr>
          <w:rFonts w:hint="eastAsia"/>
        </w:rPr>
        <w:t>採択</w:t>
      </w:r>
      <w:r w:rsidR="00787510" w:rsidRPr="00A85CB4">
        <w:rPr>
          <w:rFonts w:hint="eastAsia"/>
        </w:rPr>
        <w:t>された勧告の数にすると</w:t>
      </w:r>
      <w:r w:rsidR="00787510" w:rsidRPr="00A85CB4">
        <w:rPr>
          <w:rFonts w:hint="eastAsia"/>
        </w:rPr>
        <w:t>12</w:t>
      </w:r>
      <w:r w:rsidR="00787510" w:rsidRPr="00A85CB4">
        <w:rPr>
          <w:rFonts w:hint="eastAsia"/>
        </w:rPr>
        <w:t>件）。</w:t>
      </w:r>
    </w:p>
    <w:p w:rsidR="00A85CB4" w:rsidRPr="00A85CB4" w:rsidRDefault="00703062" w:rsidP="00A85CB4">
      <w:pPr>
        <w:pStyle w:val="a"/>
      </w:pPr>
      <w:r w:rsidRPr="00A85CB4">
        <w:rPr>
          <w:rFonts w:hint="eastAsia"/>
        </w:rPr>
        <w:t>新</w:t>
      </w:r>
      <w:r w:rsidR="008D1B35" w:rsidRPr="00A85CB4">
        <w:rPr>
          <w:rFonts w:hint="eastAsia"/>
        </w:rPr>
        <w:t>研究</w:t>
      </w:r>
      <w:r w:rsidR="00A85CB4" w:rsidRPr="00A85CB4">
        <w:rPr>
          <w:rFonts w:hint="eastAsia"/>
        </w:rPr>
        <w:t>報告</w:t>
      </w:r>
      <w:r w:rsidR="00A85CB4" w:rsidRPr="00A85CB4">
        <w:rPr>
          <w:rFonts w:hint="eastAsia"/>
        </w:rPr>
        <w:t>3</w:t>
      </w:r>
      <w:r w:rsidR="008D1B35" w:rsidRPr="00A85CB4">
        <w:rPr>
          <w:rFonts w:hint="eastAsia"/>
        </w:rPr>
        <w:t>件</w:t>
      </w:r>
      <w:r w:rsidR="006F5168" w:rsidRPr="00A85CB4">
        <w:rPr>
          <w:rFonts w:hint="eastAsia"/>
        </w:rPr>
        <w:t>、研究</w:t>
      </w:r>
      <w:r w:rsidR="00A85CB4" w:rsidRPr="00A85CB4">
        <w:rPr>
          <w:rFonts w:hint="eastAsia"/>
        </w:rPr>
        <w:t>報告</w:t>
      </w:r>
      <w:r w:rsidR="006F5168" w:rsidRPr="00A85CB4">
        <w:rPr>
          <w:rFonts w:hint="eastAsia"/>
        </w:rPr>
        <w:t>の改定</w:t>
      </w:r>
      <w:r w:rsidR="00A85CB4" w:rsidRPr="00A85CB4">
        <w:rPr>
          <w:rFonts w:hint="eastAsia"/>
        </w:rPr>
        <w:t>3</w:t>
      </w:r>
      <w:r w:rsidR="006F5168" w:rsidRPr="00A85CB4">
        <w:rPr>
          <w:rFonts w:hint="eastAsia"/>
        </w:rPr>
        <w:t>件</w:t>
      </w:r>
      <w:r w:rsidR="008D1B35" w:rsidRPr="00A85CB4">
        <w:rPr>
          <w:rFonts w:hint="eastAsia"/>
        </w:rPr>
        <w:t>が</w:t>
      </w:r>
      <w:r w:rsidR="00B42A15" w:rsidRPr="00A85CB4">
        <w:rPr>
          <w:rFonts w:hint="eastAsia"/>
        </w:rPr>
        <w:t>採択</w:t>
      </w:r>
      <w:r w:rsidR="008D1B35" w:rsidRPr="00A85CB4">
        <w:rPr>
          <w:rFonts w:hint="eastAsia"/>
        </w:rPr>
        <w:t>され</w:t>
      </w:r>
      <w:r w:rsidR="006F5168" w:rsidRPr="00A85CB4">
        <w:rPr>
          <w:rFonts w:hint="eastAsia"/>
        </w:rPr>
        <w:t>た。</w:t>
      </w:r>
    </w:p>
    <w:p w:rsidR="00A85CB4" w:rsidRPr="00A85CB4" w:rsidRDefault="00902DC0" w:rsidP="00A85CB4">
      <w:pPr>
        <w:pStyle w:val="a"/>
      </w:pPr>
      <w:r w:rsidRPr="00A85CB4">
        <w:rPr>
          <w:rFonts w:hint="eastAsia"/>
        </w:rPr>
        <w:t>新</w:t>
      </w:r>
      <w:r w:rsidR="00B42A15" w:rsidRPr="00A85CB4">
        <w:rPr>
          <w:rFonts w:hint="eastAsia"/>
        </w:rPr>
        <w:t>及び</w:t>
      </w:r>
      <w:r w:rsidRPr="00A85CB4">
        <w:rPr>
          <w:rFonts w:hint="eastAsia"/>
        </w:rPr>
        <w:t>改訂研究課題に関する入力文書は</w:t>
      </w:r>
      <w:r w:rsidR="00A85CB4" w:rsidRPr="00A85CB4">
        <w:rPr>
          <w:rFonts w:hint="eastAsia"/>
        </w:rPr>
        <w:t>2</w:t>
      </w:r>
      <w:r w:rsidR="006F5168" w:rsidRPr="00A85CB4">
        <w:rPr>
          <w:rFonts w:hint="eastAsia"/>
        </w:rPr>
        <w:t>件あり、</w:t>
      </w:r>
      <w:r w:rsidR="000D0611" w:rsidRPr="00A85CB4">
        <w:rPr>
          <w:rFonts w:hint="eastAsia"/>
        </w:rPr>
        <w:t>そのうち</w:t>
      </w:r>
      <w:r w:rsidR="006F5168" w:rsidRPr="00A85CB4">
        <w:rPr>
          <w:rFonts w:hint="eastAsia"/>
        </w:rPr>
        <w:t>新課題</w:t>
      </w:r>
      <w:r w:rsidR="000D0611" w:rsidRPr="00A85CB4">
        <w:rPr>
          <w:rFonts w:hint="eastAsia"/>
        </w:rPr>
        <w:t>1</w:t>
      </w:r>
      <w:r w:rsidR="006F5168" w:rsidRPr="00A85CB4">
        <w:rPr>
          <w:rFonts w:hint="eastAsia"/>
        </w:rPr>
        <w:t>件、課題の改定</w:t>
      </w:r>
      <w:r w:rsidR="006F5168" w:rsidRPr="00A85CB4">
        <w:rPr>
          <w:rFonts w:hint="eastAsia"/>
        </w:rPr>
        <w:t>1</w:t>
      </w:r>
      <w:r w:rsidR="006F5168" w:rsidRPr="00A85CB4">
        <w:rPr>
          <w:rFonts w:hint="eastAsia"/>
        </w:rPr>
        <w:t>件が</w:t>
      </w:r>
      <w:r w:rsidR="005F6B31" w:rsidRPr="00A85CB4">
        <w:rPr>
          <w:rFonts w:hint="eastAsia"/>
        </w:rPr>
        <w:t>採択</w:t>
      </w:r>
      <w:r w:rsidR="006F5168" w:rsidRPr="00A85CB4">
        <w:rPr>
          <w:rFonts w:hint="eastAsia"/>
        </w:rPr>
        <w:t>された。</w:t>
      </w:r>
      <w:r w:rsidR="00A85CB4" w:rsidRPr="00A85CB4">
        <w:rPr>
          <w:rFonts w:hint="eastAsia"/>
        </w:rPr>
        <w:t>本会合で採択あれた新課題は、昨年、米国とシリアの間で意見が割れたため採択されなかった</w:t>
      </w:r>
      <w:r w:rsidR="00A85CB4" w:rsidRPr="00A85CB4">
        <w:rPr>
          <w:rFonts w:hint="eastAsia"/>
        </w:rPr>
        <w:t>WP1A</w:t>
      </w:r>
      <w:r w:rsidR="00A85CB4" w:rsidRPr="00A85CB4">
        <w:rPr>
          <w:rFonts w:hint="eastAsia"/>
        </w:rPr>
        <w:t>が担当する</w:t>
      </w:r>
      <w:r w:rsidR="000D0611" w:rsidRPr="00A85CB4">
        <w:rPr>
          <w:rFonts w:hint="eastAsia"/>
        </w:rPr>
        <w:t>「パワーグリッド管理システムのサポートのために利用される無線・有線データ転送技術から無線通信システムが受ける影響に関する</w:t>
      </w:r>
      <w:r w:rsidR="000D0611" w:rsidRPr="00A85CB4">
        <w:rPr>
          <w:rFonts w:hint="eastAsia"/>
        </w:rPr>
        <w:t>ITU-R</w:t>
      </w:r>
      <w:r w:rsidR="000D0611" w:rsidRPr="00A85CB4">
        <w:rPr>
          <w:rFonts w:hint="eastAsia"/>
        </w:rPr>
        <w:t>の新課題草案</w:t>
      </w:r>
      <w:r w:rsidR="000D0611" w:rsidRPr="00A85CB4">
        <w:rPr>
          <w:rFonts w:hint="eastAsia"/>
        </w:rPr>
        <w:t>[PWRGRD]/1</w:t>
      </w:r>
      <w:r w:rsidR="000D0611" w:rsidRPr="00A85CB4">
        <w:rPr>
          <w:rFonts w:hint="eastAsia"/>
        </w:rPr>
        <w:t>（</w:t>
      </w:r>
      <w:r w:rsidR="00A85CB4" w:rsidRPr="00A85CB4">
        <w:rPr>
          <w:rFonts w:hint="eastAsia"/>
        </w:rPr>
        <w:t>1/156</w:t>
      </w:r>
      <w:r w:rsidR="00A85CB4" w:rsidRPr="00A85CB4">
        <w:rPr>
          <w:rFonts w:hint="eastAsia"/>
        </w:rPr>
        <w:t>）」についてである。</w:t>
      </w:r>
    </w:p>
    <w:p w:rsidR="006F5168" w:rsidRDefault="006E74A6" w:rsidP="00A85CB4">
      <w:pPr>
        <w:pStyle w:val="a"/>
      </w:pPr>
      <w:r>
        <w:rPr>
          <w:rFonts w:hint="eastAsia"/>
        </w:rPr>
        <w:t>検討完了のため、あるいは</w:t>
      </w:r>
      <w:r w:rsidR="006F5168" w:rsidRPr="00A85CB4">
        <w:rPr>
          <w:rFonts w:hint="eastAsia"/>
        </w:rPr>
        <w:t>寄書が</w:t>
      </w:r>
      <w:r>
        <w:rPr>
          <w:rFonts w:hint="eastAsia"/>
        </w:rPr>
        <w:t>ないためという</w:t>
      </w:r>
      <w:r w:rsidR="006F5168" w:rsidRPr="00A85CB4">
        <w:rPr>
          <w:rFonts w:hint="eastAsia"/>
        </w:rPr>
        <w:t>理由から</w:t>
      </w:r>
      <w:r>
        <w:rPr>
          <w:rFonts w:hint="eastAsia"/>
        </w:rPr>
        <w:t>5</w:t>
      </w:r>
      <w:r>
        <w:rPr>
          <w:rFonts w:hint="eastAsia"/>
        </w:rPr>
        <w:t>件</w:t>
      </w:r>
      <w:r w:rsidR="006F5168" w:rsidRPr="00A85CB4">
        <w:rPr>
          <w:rFonts w:hint="eastAsia"/>
        </w:rPr>
        <w:t>の課題の削除が</w:t>
      </w:r>
      <w:r w:rsidR="004C4E96" w:rsidRPr="00A85CB4">
        <w:rPr>
          <w:rFonts w:hint="eastAsia"/>
        </w:rPr>
        <w:t>採択</w:t>
      </w:r>
      <w:r w:rsidR="006F5168" w:rsidRPr="00A85CB4">
        <w:rPr>
          <w:rFonts w:hint="eastAsia"/>
        </w:rPr>
        <w:t>された。</w:t>
      </w:r>
    </w:p>
    <w:p w:rsidR="006E74A6" w:rsidRPr="00A85CB4" w:rsidRDefault="006E74A6" w:rsidP="00A85CB4">
      <w:pPr>
        <w:pStyle w:val="a"/>
      </w:pPr>
      <w:r>
        <w:rPr>
          <w:rFonts w:hint="eastAsia"/>
        </w:rPr>
        <w:t>WP1B</w:t>
      </w:r>
      <w:r>
        <w:rPr>
          <w:rFonts w:hint="eastAsia"/>
        </w:rPr>
        <w:t>で結論がでずに</w:t>
      </w:r>
      <w:r>
        <w:rPr>
          <w:rFonts w:hint="eastAsia"/>
        </w:rPr>
        <w:t>SG1</w:t>
      </w:r>
      <w:r>
        <w:rPr>
          <w:rFonts w:hint="eastAsia"/>
        </w:rPr>
        <w:t>に上程された</w:t>
      </w:r>
      <w:r>
        <w:rPr>
          <w:rFonts w:hint="eastAsia"/>
        </w:rPr>
        <w:t>CRS</w:t>
      </w:r>
      <w:r>
        <w:rPr>
          <w:rFonts w:hint="eastAsia"/>
        </w:rPr>
        <w:t>に関する暫定新決議案（</w:t>
      </w:r>
      <w:r>
        <w:rPr>
          <w:rFonts w:hint="eastAsia"/>
        </w:rPr>
        <w:t>1/175</w:t>
      </w:r>
      <w:r>
        <w:rPr>
          <w:rFonts w:hint="eastAsia"/>
        </w:rPr>
        <w:t>）については、これを決議とするか、課題とするか、</w:t>
      </w:r>
      <w:r>
        <w:rPr>
          <w:rFonts w:hint="eastAsia"/>
        </w:rPr>
        <w:t>SG1</w:t>
      </w:r>
      <w:r>
        <w:rPr>
          <w:rFonts w:hint="eastAsia"/>
        </w:rPr>
        <w:t>としてのアクションはなしにするか、という観点から議論が紛糾した。オフライン審議も含めた長時間の議論の末、</w:t>
      </w:r>
      <w:r>
        <w:rPr>
          <w:rFonts w:hint="eastAsia"/>
        </w:rPr>
        <w:t>SG1</w:t>
      </w:r>
      <w:r>
        <w:rPr>
          <w:rFonts w:hint="eastAsia"/>
        </w:rPr>
        <w:t>議長が</w:t>
      </w:r>
      <w:r>
        <w:rPr>
          <w:rFonts w:hint="eastAsia"/>
        </w:rPr>
        <w:t>RA</w:t>
      </w:r>
      <w:r>
        <w:rPr>
          <w:rFonts w:hint="eastAsia"/>
        </w:rPr>
        <w:t>に送付する議長報告文書（</w:t>
      </w:r>
      <w:r>
        <w:rPr>
          <w:rFonts w:hint="eastAsia"/>
        </w:rPr>
        <w:t>1001</w:t>
      </w:r>
      <w:r>
        <w:rPr>
          <w:rFonts w:hint="eastAsia"/>
        </w:rPr>
        <w:t>）の</w:t>
      </w:r>
      <w:r>
        <w:rPr>
          <w:rFonts w:hint="eastAsia"/>
        </w:rPr>
        <w:t>ANNEX</w:t>
      </w:r>
      <w:r>
        <w:rPr>
          <w:rFonts w:hint="eastAsia"/>
        </w:rPr>
        <w:t>に本決議案を添付することとし、その一方でこの決議案は</w:t>
      </w:r>
      <w:r>
        <w:rPr>
          <w:rFonts w:hint="eastAsia"/>
        </w:rPr>
        <w:t>SG1</w:t>
      </w:r>
      <w:r>
        <w:rPr>
          <w:rFonts w:hint="eastAsia"/>
        </w:rPr>
        <w:t>にて合意されたものではない点を議長報告文書（</w:t>
      </w:r>
      <w:r>
        <w:rPr>
          <w:rFonts w:hint="eastAsia"/>
        </w:rPr>
        <w:t>1001</w:t>
      </w:r>
      <w:r>
        <w:rPr>
          <w:rFonts w:hint="eastAsia"/>
        </w:rPr>
        <w:t>）の中に明記することで合意された。</w:t>
      </w:r>
    </w:p>
    <w:p w:rsidR="00C926C0" w:rsidRDefault="00C926C0" w:rsidP="00B506D2"/>
    <w:p w:rsidR="006E74A6" w:rsidRDefault="006E74A6" w:rsidP="00B506D2"/>
    <w:p w:rsidR="006E74A6" w:rsidRDefault="006E74A6" w:rsidP="00B506D2"/>
    <w:p w:rsidR="006E74A6" w:rsidRPr="006E74A6" w:rsidRDefault="006E74A6" w:rsidP="00B506D2"/>
    <w:p w:rsidR="005613D1" w:rsidRPr="00B506D2" w:rsidRDefault="00C60E94" w:rsidP="00864FA4">
      <w:pPr>
        <w:pStyle w:val="105pt16pt"/>
      </w:pPr>
      <w:bookmarkStart w:id="1" w:name="_Toc190876111"/>
      <w:r w:rsidRPr="00B506D2">
        <w:rPr>
          <w:rFonts w:hint="eastAsia"/>
        </w:rPr>
        <w:t>勧告案</w:t>
      </w:r>
      <w:bookmarkEnd w:id="1"/>
    </w:p>
    <w:p w:rsidR="007911A4" w:rsidRPr="00AA5595" w:rsidRDefault="00AD0FA2" w:rsidP="00AA5595">
      <w:bookmarkStart w:id="2" w:name="OLE_LINK2"/>
      <w:bookmarkStart w:id="3" w:name="OLE_LINK11"/>
      <w:bookmarkStart w:id="4" w:name="_Toc190876112"/>
      <w:bookmarkEnd w:id="2"/>
      <w:bookmarkEnd w:id="3"/>
      <w:r w:rsidRPr="00AA5595">
        <w:rPr>
          <w:rFonts w:hint="eastAsia"/>
        </w:rPr>
        <w:t>WP1</w:t>
      </w:r>
      <w:r w:rsidR="00BE5CE6" w:rsidRPr="00AA5595">
        <w:rPr>
          <w:rFonts w:hint="eastAsia"/>
        </w:rPr>
        <w:t>A</w:t>
      </w:r>
      <w:r w:rsidRPr="00AA5595">
        <w:rPr>
          <w:rFonts w:hint="eastAsia"/>
        </w:rPr>
        <w:t>から提出された</w:t>
      </w:r>
      <w:r w:rsidR="00AA5595" w:rsidRPr="00AA5595">
        <w:rPr>
          <w:rFonts w:hint="eastAsia"/>
        </w:rPr>
        <w:t xml:space="preserve">2 </w:t>
      </w:r>
      <w:r w:rsidRPr="00AA5595">
        <w:rPr>
          <w:rFonts w:hint="eastAsia"/>
        </w:rPr>
        <w:t>件の</w:t>
      </w:r>
      <w:r w:rsidR="000D3F46" w:rsidRPr="00AA5595">
        <w:rPr>
          <w:rFonts w:hint="eastAsia"/>
        </w:rPr>
        <w:t>勧告</w:t>
      </w:r>
      <w:r w:rsidR="00AA5595" w:rsidRPr="00AA5595">
        <w:rPr>
          <w:rFonts w:hint="eastAsia"/>
        </w:rPr>
        <w:t>改定</w:t>
      </w:r>
      <w:r w:rsidR="000D3F46" w:rsidRPr="00AA5595">
        <w:rPr>
          <w:rFonts w:hint="eastAsia"/>
        </w:rPr>
        <w:t>案と</w:t>
      </w:r>
      <w:r w:rsidR="00AA5595" w:rsidRPr="00AA5595">
        <w:rPr>
          <w:rFonts w:hint="eastAsia"/>
        </w:rPr>
        <w:t>、</w:t>
      </w:r>
      <w:r w:rsidR="00AA5595" w:rsidRPr="00AA5595">
        <w:rPr>
          <w:rFonts w:hint="eastAsia"/>
        </w:rPr>
        <w:t>WP1B</w:t>
      </w:r>
      <w:r w:rsidR="00AA5595" w:rsidRPr="00AA5595">
        <w:rPr>
          <w:rFonts w:hint="eastAsia"/>
        </w:rPr>
        <w:t>から提出された</w:t>
      </w:r>
      <w:r w:rsidR="00AA5595" w:rsidRPr="00AA5595">
        <w:rPr>
          <w:rFonts w:hint="eastAsia"/>
        </w:rPr>
        <w:t>1</w:t>
      </w:r>
      <w:r w:rsidR="000D3F46" w:rsidRPr="00AA5595">
        <w:rPr>
          <w:rFonts w:hint="eastAsia"/>
        </w:rPr>
        <w:t>件の</w:t>
      </w:r>
      <w:r w:rsidR="00AA5595" w:rsidRPr="00AA5595">
        <w:rPr>
          <w:rFonts w:hint="eastAsia"/>
        </w:rPr>
        <w:t>新</w:t>
      </w:r>
      <w:r w:rsidR="000D3F46" w:rsidRPr="00AA5595">
        <w:rPr>
          <w:rFonts w:hint="eastAsia"/>
        </w:rPr>
        <w:t>勧告</w:t>
      </w:r>
      <w:r w:rsidRPr="00AA5595">
        <w:rPr>
          <w:rFonts w:hint="eastAsia"/>
        </w:rPr>
        <w:t>案</w:t>
      </w:r>
      <w:r w:rsidR="00BE5CE6" w:rsidRPr="00AA5595">
        <w:rPr>
          <w:rFonts w:hint="eastAsia"/>
        </w:rPr>
        <w:t>、また</w:t>
      </w:r>
      <w:r w:rsidR="00BE5CE6" w:rsidRPr="00AA5595">
        <w:rPr>
          <w:rFonts w:hint="eastAsia"/>
        </w:rPr>
        <w:t>WP1C</w:t>
      </w:r>
      <w:r w:rsidR="00BE5CE6" w:rsidRPr="00AA5595">
        <w:rPr>
          <w:rFonts w:hint="eastAsia"/>
        </w:rPr>
        <w:t>から提出された</w:t>
      </w:r>
      <w:r w:rsidR="00AA5595" w:rsidRPr="00AA5595">
        <w:rPr>
          <w:rFonts w:hint="eastAsia"/>
        </w:rPr>
        <w:t>5</w:t>
      </w:r>
      <w:r w:rsidR="00AA5595" w:rsidRPr="00AA5595">
        <w:rPr>
          <w:rFonts w:hint="eastAsia"/>
        </w:rPr>
        <w:t>件の</w:t>
      </w:r>
      <w:r w:rsidR="00BE5CE6" w:rsidRPr="00AA5595">
        <w:rPr>
          <w:rFonts w:hint="eastAsia"/>
        </w:rPr>
        <w:t>勧告</w:t>
      </w:r>
      <w:r w:rsidR="00AA5595" w:rsidRPr="00AA5595">
        <w:rPr>
          <w:rFonts w:hint="eastAsia"/>
        </w:rPr>
        <w:t>改定</w:t>
      </w:r>
      <w:r w:rsidR="00BE5CE6" w:rsidRPr="00AA5595">
        <w:rPr>
          <w:rFonts w:hint="eastAsia"/>
        </w:rPr>
        <w:t>案</w:t>
      </w:r>
      <w:r w:rsidR="00AA5595" w:rsidRPr="00AA5595">
        <w:rPr>
          <w:rFonts w:hint="eastAsia"/>
        </w:rPr>
        <w:t>の合計</w:t>
      </w:r>
      <w:r w:rsidR="00AA5595" w:rsidRPr="00AA5595">
        <w:rPr>
          <w:rFonts w:hint="eastAsia"/>
        </w:rPr>
        <w:t>8</w:t>
      </w:r>
      <w:r w:rsidR="001E4461" w:rsidRPr="00AA5595">
        <w:rPr>
          <w:rFonts w:hint="eastAsia"/>
        </w:rPr>
        <w:t>件</w:t>
      </w:r>
      <w:r w:rsidRPr="00AA5595">
        <w:rPr>
          <w:rFonts w:hint="eastAsia"/>
        </w:rPr>
        <w:t>が</w:t>
      </w:r>
      <w:r w:rsidR="004C4E96" w:rsidRPr="00AA5595">
        <w:rPr>
          <w:rFonts w:hint="eastAsia"/>
        </w:rPr>
        <w:t>採択</w:t>
      </w:r>
      <w:r w:rsidRPr="00AA5595">
        <w:rPr>
          <w:rFonts w:hint="eastAsia"/>
        </w:rPr>
        <w:t>された。</w:t>
      </w:r>
      <w:r w:rsidR="00AA5595" w:rsidRPr="00AA5595">
        <w:rPr>
          <w:rFonts w:hint="eastAsia"/>
        </w:rPr>
        <w:t>なお、</w:t>
      </w:r>
      <w:r w:rsidR="00AA5595" w:rsidRPr="00AA5595">
        <w:rPr>
          <w:rFonts w:hint="eastAsia"/>
        </w:rPr>
        <w:t>WP1A</w:t>
      </w:r>
      <w:r w:rsidR="00AA5595" w:rsidRPr="00AA5595">
        <w:rPr>
          <w:rFonts w:hint="eastAsia"/>
        </w:rPr>
        <w:t>から提出されたスプリアス領域における不要輻射の許容値を修正する勧告</w:t>
      </w:r>
      <w:r w:rsidR="00AA5595" w:rsidRPr="00AA5595">
        <w:rPr>
          <w:rFonts w:hint="eastAsia"/>
        </w:rPr>
        <w:t>ITU-R SM.329-11</w:t>
      </w:r>
      <w:r w:rsidR="00AA5595" w:rsidRPr="00AA5595">
        <w:rPr>
          <w:rFonts w:hint="eastAsia"/>
        </w:rPr>
        <w:t>の改定案は議論しつくされていないとの理由から米国、中国、イランが反対し、承認されなかった。</w:t>
      </w:r>
    </w:p>
    <w:bookmarkEnd w:id="4"/>
    <w:p w:rsidR="009019CE" w:rsidRPr="00B506D2" w:rsidRDefault="00EA578E" w:rsidP="006B3D8A">
      <w:pPr>
        <w:pStyle w:val="Style205pt11pt"/>
        <w:ind w:firstLine="281"/>
      </w:pPr>
      <w:r>
        <w:rPr>
          <w:rFonts w:hint="eastAsia"/>
        </w:rPr>
        <w:t>1.1</w:t>
      </w:r>
      <w:r>
        <w:rPr>
          <w:rFonts w:hint="eastAsia"/>
        </w:rPr>
        <w:t xml:space="preserve">　</w:t>
      </w:r>
      <w:r w:rsidR="00C60E94" w:rsidRPr="00B506D2">
        <w:rPr>
          <w:rFonts w:hint="eastAsia"/>
        </w:rPr>
        <w:t>WP1A</w:t>
      </w:r>
      <w:r w:rsidR="00C60E94" w:rsidRPr="00B506D2">
        <w:rPr>
          <w:rFonts w:hint="eastAsia"/>
        </w:rPr>
        <w:t>からの</w:t>
      </w:r>
      <w:r w:rsidR="00043793" w:rsidRPr="00B506D2">
        <w:rPr>
          <w:rFonts w:hint="eastAsia"/>
        </w:rPr>
        <w:t>勧告案</w:t>
      </w:r>
    </w:p>
    <w:p w:rsidR="009019CE" w:rsidRPr="00864FA4" w:rsidRDefault="005613D1" w:rsidP="00D55CA4">
      <w:pPr>
        <w:pStyle w:val="a5"/>
      </w:pPr>
      <w:r w:rsidRPr="00864FA4">
        <w:t>入力文書</w:t>
      </w:r>
      <w:r w:rsidR="007D0390" w:rsidRPr="00864FA4">
        <w:t xml:space="preserve">  </w:t>
      </w:r>
      <w:r w:rsidR="00AD0FA2" w:rsidRPr="00864FA4">
        <w:rPr>
          <w:rFonts w:hint="eastAsia"/>
        </w:rPr>
        <w:t>Doc.</w:t>
      </w:r>
      <w:r w:rsidR="00D01D76" w:rsidRPr="00864FA4">
        <w:rPr>
          <w:rFonts w:hint="eastAsia"/>
        </w:rPr>
        <w:t>1/</w:t>
      </w:r>
      <w:r w:rsidR="00C60E94" w:rsidRPr="00864FA4">
        <w:rPr>
          <w:rFonts w:hint="eastAsia"/>
        </w:rPr>
        <w:t>154, 1/155</w:t>
      </w:r>
      <w:r w:rsidR="0048538A" w:rsidRPr="00864FA4">
        <w:rPr>
          <w:rFonts w:hint="eastAsia"/>
        </w:rPr>
        <w:t>, 1/</w:t>
      </w:r>
      <w:r w:rsidR="00C60E94" w:rsidRPr="00864FA4">
        <w:rPr>
          <w:rFonts w:hint="eastAsia"/>
        </w:rPr>
        <w:t>167</w:t>
      </w:r>
    </w:p>
    <w:p w:rsidR="001C609F" w:rsidRPr="00E95B31" w:rsidRDefault="007079AE" w:rsidP="00E95B31">
      <w:r w:rsidRPr="00E95B31">
        <w:rPr>
          <w:rFonts w:hint="eastAsia"/>
        </w:rPr>
        <w:t>1/</w:t>
      </w:r>
      <w:r w:rsidR="00CD74E2" w:rsidRPr="00E95B31">
        <w:rPr>
          <w:rFonts w:hint="eastAsia"/>
        </w:rPr>
        <w:t>154</w:t>
      </w:r>
      <w:r w:rsidR="001C609F" w:rsidRPr="00E95B31">
        <w:rPr>
          <w:rFonts w:hint="eastAsia"/>
        </w:rPr>
        <w:t>（一次レーダーシステムの</w:t>
      </w:r>
      <w:proofErr w:type="spellStart"/>
      <w:r w:rsidR="001C609F" w:rsidRPr="00E95B31">
        <w:rPr>
          <w:rFonts w:hint="eastAsia"/>
        </w:rPr>
        <w:t>OoB</w:t>
      </w:r>
      <w:proofErr w:type="spellEnd"/>
      <w:r w:rsidR="001C609F" w:rsidRPr="00E95B31">
        <w:rPr>
          <w:rFonts w:hint="eastAsia"/>
        </w:rPr>
        <w:t>領域放射制限）</w:t>
      </w:r>
      <w:r w:rsidRPr="00E95B31">
        <w:rPr>
          <w:rFonts w:hint="eastAsia"/>
        </w:rPr>
        <w:t>, 1/167</w:t>
      </w:r>
      <w:r w:rsidR="001C609F" w:rsidRPr="00E95B31">
        <w:rPr>
          <w:rFonts w:hint="eastAsia"/>
        </w:rPr>
        <w:t>（無線システムへの</w:t>
      </w:r>
      <w:r w:rsidR="001C609F" w:rsidRPr="00E95B31">
        <w:rPr>
          <w:rFonts w:hint="eastAsia"/>
        </w:rPr>
        <w:t>PLT</w:t>
      </w:r>
      <w:r w:rsidR="001C609F" w:rsidRPr="00E95B31">
        <w:rPr>
          <w:rFonts w:hint="eastAsia"/>
        </w:rPr>
        <w:t>システムの影響）</w:t>
      </w:r>
      <w:r w:rsidRPr="00E95B31">
        <w:rPr>
          <w:rFonts w:hint="eastAsia"/>
        </w:rPr>
        <w:t>については</w:t>
      </w:r>
      <w:r w:rsidR="002C5A50" w:rsidRPr="00E95B31">
        <w:rPr>
          <w:rFonts w:hint="eastAsia"/>
        </w:rPr>
        <w:t>議論なく</w:t>
      </w:r>
      <w:r w:rsidR="004C4E96" w:rsidRPr="00E95B31">
        <w:rPr>
          <w:rFonts w:hint="eastAsia"/>
        </w:rPr>
        <w:t>採択</w:t>
      </w:r>
      <w:r w:rsidR="002C5A50" w:rsidRPr="00E95B31">
        <w:rPr>
          <w:rFonts w:hint="eastAsia"/>
        </w:rPr>
        <w:t>され</w:t>
      </w:r>
      <w:r w:rsidRPr="00E95B31">
        <w:rPr>
          <w:rFonts w:hint="eastAsia"/>
        </w:rPr>
        <w:t>、</w:t>
      </w:r>
      <w:r w:rsidRPr="00E95B31">
        <w:rPr>
          <w:rFonts w:hint="eastAsia"/>
        </w:rPr>
        <w:t>PSAA</w:t>
      </w:r>
      <w:r w:rsidR="001C609F" w:rsidRPr="00E95B31">
        <w:rPr>
          <w:rStyle w:val="ad"/>
          <w:rFonts w:cs="Arial"/>
          <w:vertAlign w:val="baseline"/>
        </w:rPr>
        <w:footnoteReference w:id="2"/>
      </w:r>
      <w:r w:rsidRPr="00E95B31">
        <w:rPr>
          <w:rFonts w:hint="eastAsia"/>
        </w:rPr>
        <w:t>による承認に回されることになっ</w:t>
      </w:r>
      <w:r w:rsidR="002C5A50" w:rsidRPr="00E95B31">
        <w:rPr>
          <w:rFonts w:hint="eastAsia"/>
        </w:rPr>
        <w:t>た。</w:t>
      </w:r>
    </w:p>
    <w:p w:rsidR="001C609F" w:rsidRPr="00E95B31" w:rsidRDefault="007079AE" w:rsidP="00E95B31">
      <w:r w:rsidRPr="00E95B31">
        <w:rPr>
          <w:rFonts w:hint="eastAsia"/>
        </w:rPr>
        <w:t>一方、</w:t>
      </w:r>
      <w:r w:rsidRPr="00E95B31">
        <w:rPr>
          <w:rFonts w:hint="eastAsia"/>
        </w:rPr>
        <w:t>1/155</w:t>
      </w:r>
      <w:r w:rsidRPr="00E95B31">
        <w:rPr>
          <w:rFonts w:hint="eastAsia"/>
        </w:rPr>
        <w:t>は、</w:t>
      </w:r>
      <w:r w:rsidR="002569BE" w:rsidRPr="00E95B31">
        <w:rPr>
          <w:rFonts w:hint="eastAsia"/>
        </w:rPr>
        <w:t>CEPT</w:t>
      </w:r>
      <w:r w:rsidR="002569BE" w:rsidRPr="00E95B31">
        <w:rPr>
          <w:rFonts w:hint="eastAsia"/>
        </w:rPr>
        <w:t>が</w:t>
      </w:r>
      <w:r w:rsidR="001C609F" w:rsidRPr="00E95B31">
        <w:rPr>
          <w:rFonts w:hint="eastAsia"/>
        </w:rPr>
        <w:t>2010</w:t>
      </w:r>
      <w:r w:rsidR="001C609F" w:rsidRPr="00E95B31">
        <w:rPr>
          <w:rFonts w:hint="eastAsia"/>
        </w:rPr>
        <w:t>年</w:t>
      </w:r>
      <w:r w:rsidR="001C609F" w:rsidRPr="00E95B31">
        <w:rPr>
          <w:rFonts w:hint="eastAsia"/>
        </w:rPr>
        <w:t>1</w:t>
      </w:r>
      <w:r w:rsidR="001C609F" w:rsidRPr="00E95B31">
        <w:rPr>
          <w:rFonts w:hint="eastAsia"/>
        </w:rPr>
        <w:t>月に</w:t>
      </w:r>
      <w:r w:rsidR="002569BE" w:rsidRPr="00E95B31">
        <w:rPr>
          <w:rFonts w:hint="eastAsia"/>
        </w:rPr>
        <w:t>広帯域無線システムや一部のレーダーアプリケーショ</w:t>
      </w:r>
      <w:r w:rsidR="002569BE" w:rsidRPr="00E95B31">
        <w:rPr>
          <w:rFonts w:hint="eastAsia"/>
        </w:rPr>
        <w:lastRenderedPageBreak/>
        <w:t>ンのスプリアス領域における不要輻射の許容値を修正することに合意したという経緯を受け、勧告</w:t>
      </w:r>
      <w:r w:rsidR="002569BE" w:rsidRPr="00E95B31">
        <w:rPr>
          <w:rFonts w:hint="eastAsia"/>
        </w:rPr>
        <w:t>ITU-R SM.329-11</w:t>
      </w:r>
      <w:r w:rsidR="002569BE" w:rsidRPr="00E95B31">
        <w:rPr>
          <w:rFonts w:hint="eastAsia"/>
        </w:rPr>
        <w:t>についても一部、数値を修正するようスイスが求めていたものであるが、この新たな許容値については、まだ議論がしつくされていないとの理由から、米国、中国、イランが反対した。</w:t>
      </w:r>
    </w:p>
    <w:p w:rsidR="002569BE" w:rsidRPr="00E95B31" w:rsidRDefault="002569BE" w:rsidP="00E95B31">
      <w:r w:rsidRPr="00E95B31">
        <w:rPr>
          <w:rFonts w:hint="eastAsia"/>
        </w:rPr>
        <w:t>そのため、本勧告の改定案は承認されず、次回の</w:t>
      </w:r>
      <w:r w:rsidRPr="00E95B31">
        <w:rPr>
          <w:rFonts w:hint="eastAsia"/>
        </w:rPr>
        <w:t>WP1A</w:t>
      </w:r>
      <w:r w:rsidRPr="00E95B31">
        <w:rPr>
          <w:rFonts w:hint="eastAsia"/>
        </w:rPr>
        <w:t>会合で継続審議されることになった。なお、中国は本勧告について次回、寄書を提出する準備があるとの意思を表明した。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90"/>
        <w:gridCol w:w="1350"/>
        <w:gridCol w:w="4500"/>
        <w:gridCol w:w="1260"/>
      </w:tblGrid>
      <w:tr w:rsidR="00397E7E" w:rsidRPr="00B506D2" w:rsidTr="00C60E94">
        <w:tc>
          <w:tcPr>
            <w:tcW w:w="1548" w:type="dxa"/>
          </w:tcPr>
          <w:p w:rsidR="00397E7E" w:rsidRPr="00B506D2" w:rsidRDefault="00397E7E" w:rsidP="00AA5595">
            <w:r w:rsidRPr="00B506D2">
              <w:rPr>
                <w:rFonts w:hint="eastAsia"/>
              </w:rPr>
              <w:t>文書番号</w:t>
            </w:r>
          </w:p>
        </w:tc>
        <w:tc>
          <w:tcPr>
            <w:tcW w:w="990" w:type="dxa"/>
          </w:tcPr>
          <w:p w:rsidR="00397E7E" w:rsidRPr="00B506D2" w:rsidRDefault="00397E7E" w:rsidP="00AA5595">
            <w:r w:rsidRPr="00B506D2">
              <w:rPr>
                <w:rFonts w:hint="eastAsia"/>
              </w:rPr>
              <w:t>提出元</w:t>
            </w:r>
          </w:p>
        </w:tc>
        <w:tc>
          <w:tcPr>
            <w:tcW w:w="1350" w:type="dxa"/>
          </w:tcPr>
          <w:p w:rsidR="00397E7E" w:rsidRPr="00B506D2" w:rsidRDefault="00397E7E" w:rsidP="00AA5595">
            <w:r w:rsidRPr="00B506D2">
              <w:rPr>
                <w:rFonts w:hint="eastAsia"/>
              </w:rPr>
              <w:t>勧告名</w:t>
            </w:r>
          </w:p>
        </w:tc>
        <w:tc>
          <w:tcPr>
            <w:tcW w:w="4500" w:type="dxa"/>
          </w:tcPr>
          <w:p w:rsidR="00397E7E" w:rsidRPr="00B506D2" w:rsidRDefault="00397E7E" w:rsidP="00AA5595">
            <w:r w:rsidRPr="00B506D2">
              <w:rPr>
                <w:rFonts w:hint="eastAsia"/>
              </w:rPr>
              <w:t>表題</w:t>
            </w:r>
          </w:p>
        </w:tc>
        <w:tc>
          <w:tcPr>
            <w:tcW w:w="1260" w:type="dxa"/>
          </w:tcPr>
          <w:p w:rsidR="00397E7E" w:rsidRPr="00B506D2" w:rsidRDefault="00397E7E" w:rsidP="00AA5595">
            <w:r w:rsidRPr="00B506D2">
              <w:rPr>
                <w:rFonts w:hint="eastAsia"/>
              </w:rPr>
              <w:t>種別</w:t>
            </w:r>
          </w:p>
        </w:tc>
      </w:tr>
      <w:tr w:rsidR="00397E7E" w:rsidRPr="00B506D2" w:rsidTr="00C60E94">
        <w:tc>
          <w:tcPr>
            <w:tcW w:w="1548" w:type="dxa"/>
          </w:tcPr>
          <w:p w:rsidR="00397E7E" w:rsidRPr="00B506D2" w:rsidRDefault="00C60E94" w:rsidP="00AA5595">
            <w:r w:rsidRPr="00B506D2">
              <w:t>1/</w:t>
            </w:r>
            <w:r w:rsidRPr="00B506D2">
              <w:rPr>
                <w:rFonts w:hint="eastAsia"/>
              </w:rPr>
              <w:t>154</w:t>
            </w:r>
            <w:r w:rsidR="00397E7E" w:rsidRPr="00B506D2">
              <w:t xml:space="preserve"> </w:t>
            </w:r>
          </w:p>
        </w:tc>
        <w:tc>
          <w:tcPr>
            <w:tcW w:w="990" w:type="dxa"/>
          </w:tcPr>
          <w:p w:rsidR="00397E7E" w:rsidRPr="00B506D2" w:rsidRDefault="00397E7E" w:rsidP="00AA5595">
            <w:r w:rsidRPr="00B506D2">
              <w:rPr>
                <w:rFonts w:hint="eastAsia"/>
              </w:rPr>
              <w:t>WP1A</w:t>
            </w:r>
          </w:p>
        </w:tc>
        <w:tc>
          <w:tcPr>
            <w:tcW w:w="1350" w:type="dxa"/>
          </w:tcPr>
          <w:p w:rsidR="00397E7E" w:rsidRPr="00B506D2" w:rsidRDefault="00C60E94" w:rsidP="00AA5595">
            <w:r w:rsidRPr="00B506D2">
              <w:t>SM.1541-3</w:t>
            </w:r>
          </w:p>
        </w:tc>
        <w:tc>
          <w:tcPr>
            <w:tcW w:w="4500" w:type="dxa"/>
          </w:tcPr>
          <w:p w:rsidR="00397E7E" w:rsidRPr="00AA5595" w:rsidRDefault="00C60E94" w:rsidP="00AA5595">
            <w:proofErr w:type="spellStart"/>
            <w:r w:rsidRPr="00AA5595">
              <w:t>OoB</w:t>
            </w:r>
            <w:proofErr w:type="spellEnd"/>
            <w:r w:rsidRPr="00AA5595">
              <w:t xml:space="preserve"> domain emission limits for primary radar systems</w:t>
            </w:r>
          </w:p>
        </w:tc>
        <w:tc>
          <w:tcPr>
            <w:tcW w:w="1260" w:type="dxa"/>
          </w:tcPr>
          <w:p w:rsidR="00C60E94" w:rsidRPr="00B506D2" w:rsidRDefault="00397E7E" w:rsidP="00AA5595">
            <w:r w:rsidRPr="00B506D2">
              <w:rPr>
                <w:rFonts w:hint="eastAsia"/>
              </w:rPr>
              <w:t>改定</w:t>
            </w:r>
          </w:p>
        </w:tc>
      </w:tr>
      <w:tr w:rsidR="00397E7E" w:rsidRPr="00B506D2" w:rsidTr="00C60E94">
        <w:tc>
          <w:tcPr>
            <w:tcW w:w="1548" w:type="dxa"/>
          </w:tcPr>
          <w:p w:rsidR="00397E7E" w:rsidRPr="00B506D2" w:rsidRDefault="00397E7E" w:rsidP="00AA5595">
            <w:r w:rsidRPr="00B506D2">
              <w:t>1/</w:t>
            </w:r>
            <w:r w:rsidR="00C60E94" w:rsidRPr="00B506D2">
              <w:rPr>
                <w:rFonts w:hint="eastAsia"/>
              </w:rPr>
              <w:t>155</w:t>
            </w:r>
            <w:r w:rsidR="002569BE" w:rsidRPr="00B506D2">
              <w:rPr>
                <w:rFonts w:hint="eastAsia"/>
              </w:rPr>
              <w:t>*</w:t>
            </w:r>
          </w:p>
        </w:tc>
        <w:tc>
          <w:tcPr>
            <w:tcW w:w="990" w:type="dxa"/>
          </w:tcPr>
          <w:p w:rsidR="00397E7E" w:rsidRPr="00B506D2" w:rsidRDefault="00397E7E" w:rsidP="00AA5595">
            <w:r w:rsidRPr="00B506D2">
              <w:rPr>
                <w:rFonts w:hint="eastAsia"/>
              </w:rPr>
              <w:t>WP1A</w:t>
            </w:r>
          </w:p>
        </w:tc>
        <w:tc>
          <w:tcPr>
            <w:tcW w:w="1350" w:type="dxa"/>
          </w:tcPr>
          <w:p w:rsidR="00397E7E" w:rsidRPr="00B506D2" w:rsidRDefault="00C60E94" w:rsidP="00AA5595">
            <w:r w:rsidRPr="00B506D2">
              <w:t>SM.329-11</w:t>
            </w:r>
          </w:p>
        </w:tc>
        <w:tc>
          <w:tcPr>
            <w:tcW w:w="4500" w:type="dxa"/>
          </w:tcPr>
          <w:p w:rsidR="00397E7E" w:rsidRPr="00AA5595" w:rsidRDefault="00C60E94" w:rsidP="00AA5595">
            <w:r w:rsidRPr="00AA5595">
              <w:t>Unwanted emissions in the spurious domain</w:t>
            </w:r>
          </w:p>
        </w:tc>
        <w:tc>
          <w:tcPr>
            <w:tcW w:w="1260" w:type="dxa"/>
          </w:tcPr>
          <w:p w:rsidR="00397E7E" w:rsidRPr="00B506D2" w:rsidRDefault="00397E7E" w:rsidP="00AA5595">
            <w:r w:rsidRPr="00B506D2">
              <w:rPr>
                <w:rFonts w:hint="eastAsia"/>
              </w:rPr>
              <w:t>改定</w:t>
            </w:r>
          </w:p>
        </w:tc>
      </w:tr>
      <w:tr w:rsidR="00397E7E" w:rsidRPr="00B506D2" w:rsidTr="00C60E94">
        <w:tc>
          <w:tcPr>
            <w:tcW w:w="1548" w:type="dxa"/>
          </w:tcPr>
          <w:p w:rsidR="00397E7E" w:rsidRPr="00B506D2" w:rsidRDefault="00397E7E" w:rsidP="00AA5595">
            <w:r w:rsidRPr="00B506D2">
              <w:t>1/</w:t>
            </w:r>
            <w:r w:rsidR="00C60E94" w:rsidRPr="00B506D2">
              <w:rPr>
                <w:rFonts w:hint="eastAsia"/>
              </w:rPr>
              <w:t>167</w:t>
            </w:r>
          </w:p>
        </w:tc>
        <w:tc>
          <w:tcPr>
            <w:tcW w:w="990" w:type="dxa"/>
          </w:tcPr>
          <w:p w:rsidR="00397E7E" w:rsidRPr="00B506D2" w:rsidRDefault="00397E7E" w:rsidP="00AA5595">
            <w:r w:rsidRPr="00B506D2">
              <w:rPr>
                <w:rFonts w:hint="eastAsia"/>
              </w:rPr>
              <w:t>WP1A</w:t>
            </w:r>
          </w:p>
        </w:tc>
        <w:tc>
          <w:tcPr>
            <w:tcW w:w="1350" w:type="dxa"/>
          </w:tcPr>
          <w:p w:rsidR="00397E7E" w:rsidRPr="00B506D2" w:rsidRDefault="00C60E94" w:rsidP="00AA5595">
            <w:r w:rsidRPr="00B506D2">
              <w:t>SM.1879</w:t>
            </w:r>
          </w:p>
        </w:tc>
        <w:tc>
          <w:tcPr>
            <w:tcW w:w="4500" w:type="dxa"/>
          </w:tcPr>
          <w:p w:rsidR="00397E7E" w:rsidRPr="00AA5595" w:rsidRDefault="00C60E94" w:rsidP="00AA5595">
            <w:r w:rsidRPr="00AA5595">
              <w:t>The impact of power line high data rate telecommunication systems on radiocommunication systems</w:t>
            </w:r>
          </w:p>
        </w:tc>
        <w:tc>
          <w:tcPr>
            <w:tcW w:w="1260" w:type="dxa"/>
            <w:tcBorders>
              <w:bottom w:val="single" w:sz="4" w:space="0" w:color="auto"/>
            </w:tcBorders>
          </w:tcPr>
          <w:p w:rsidR="00397E7E" w:rsidRPr="00B506D2" w:rsidRDefault="007079AE" w:rsidP="00AA5595">
            <w:r w:rsidRPr="00B506D2">
              <w:rPr>
                <w:rFonts w:hint="eastAsia"/>
              </w:rPr>
              <w:t>改定</w:t>
            </w:r>
          </w:p>
        </w:tc>
      </w:tr>
    </w:tbl>
    <w:p w:rsidR="00057CFD" w:rsidRPr="00B506D2" w:rsidRDefault="002569BE" w:rsidP="00B506D2">
      <w:r w:rsidRPr="00B506D2">
        <w:rPr>
          <w:rFonts w:hint="eastAsia"/>
        </w:rPr>
        <w:t xml:space="preserve">* </w:t>
      </w:r>
      <w:r w:rsidRPr="00B506D2">
        <w:rPr>
          <w:rFonts w:hint="eastAsia"/>
        </w:rPr>
        <w:t>承認されなかった。</w:t>
      </w:r>
    </w:p>
    <w:p w:rsidR="00043793" w:rsidRPr="00B506D2" w:rsidRDefault="001C609F" w:rsidP="006B3D8A">
      <w:pPr>
        <w:pStyle w:val="Style205pt11pt"/>
        <w:ind w:firstLine="281"/>
      </w:pPr>
      <w:r>
        <w:br w:type="page"/>
      </w:r>
      <w:r w:rsidR="00EA578E">
        <w:rPr>
          <w:rFonts w:hint="eastAsia"/>
        </w:rPr>
        <w:t>1.2</w:t>
      </w:r>
      <w:r w:rsidR="00EA578E">
        <w:rPr>
          <w:rFonts w:hint="eastAsia"/>
        </w:rPr>
        <w:t xml:space="preserve">　</w:t>
      </w:r>
      <w:r w:rsidR="002569BE" w:rsidRPr="00B506D2">
        <w:rPr>
          <w:rFonts w:hint="eastAsia"/>
        </w:rPr>
        <w:t>WP1B</w:t>
      </w:r>
      <w:r w:rsidR="002569BE" w:rsidRPr="00B506D2">
        <w:rPr>
          <w:rFonts w:hint="eastAsia"/>
        </w:rPr>
        <w:t>からの勧告案</w:t>
      </w:r>
    </w:p>
    <w:p w:rsidR="00577462" w:rsidRPr="00B506D2" w:rsidRDefault="00577462" w:rsidP="00D55CA4">
      <w:pPr>
        <w:pStyle w:val="a5"/>
      </w:pPr>
      <w:r w:rsidRPr="00B506D2">
        <w:t>入力文書</w:t>
      </w:r>
      <w:r w:rsidRPr="00B506D2">
        <w:t xml:space="preserve">  </w:t>
      </w:r>
      <w:r w:rsidRPr="00B506D2">
        <w:rPr>
          <w:rFonts w:hint="eastAsia"/>
        </w:rPr>
        <w:t>Doc. 1/1</w:t>
      </w:r>
      <w:r w:rsidR="002569BE" w:rsidRPr="00B506D2">
        <w:rPr>
          <w:rFonts w:hint="eastAsia"/>
        </w:rPr>
        <w:t>78</w:t>
      </w:r>
    </w:p>
    <w:p w:rsidR="00A93289" w:rsidRPr="00E95B31" w:rsidRDefault="003354A8" w:rsidP="00E95B31">
      <w:r w:rsidRPr="00E95B31">
        <w:rPr>
          <w:rFonts w:hint="eastAsia"/>
        </w:rPr>
        <w:t>WP1B</w:t>
      </w:r>
      <w:r w:rsidRPr="00E95B31">
        <w:rPr>
          <w:rFonts w:hint="eastAsia"/>
        </w:rPr>
        <w:t>からは「</w:t>
      </w:r>
      <w:r w:rsidRPr="00E95B31">
        <w:rPr>
          <w:rFonts w:hint="eastAsia"/>
        </w:rPr>
        <w:t>SRD</w:t>
      </w:r>
      <w:r w:rsidRPr="00E95B31">
        <w:rPr>
          <w:rFonts w:hint="eastAsia"/>
        </w:rPr>
        <w:t>向けの周波数のグローバルあるいは地域におけるハーモナイゼーション」に関する新勧告提案（</w:t>
      </w:r>
      <w:r w:rsidR="00577462" w:rsidRPr="00E95B31">
        <w:rPr>
          <w:rFonts w:hint="eastAsia"/>
        </w:rPr>
        <w:t>1/1</w:t>
      </w:r>
      <w:r w:rsidR="00A93289" w:rsidRPr="00E95B31">
        <w:rPr>
          <w:rFonts w:hint="eastAsia"/>
        </w:rPr>
        <w:t>78</w:t>
      </w:r>
      <w:r w:rsidR="00EC1E76" w:rsidRPr="00E95B31">
        <w:rPr>
          <w:rFonts w:hint="eastAsia"/>
        </w:rPr>
        <w:t>）の</w:t>
      </w:r>
      <w:r w:rsidR="00EC1E76" w:rsidRPr="00E95B31">
        <w:rPr>
          <w:rFonts w:hint="eastAsia"/>
        </w:rPr>
        <w:t>1</w:t>
      </w:r>
      <w:r w:rsidRPr="00E95B31">
        <w:rPr>
          <w:rFonts w:hint="eastAsia"/>
        </w:rPr>
        <w:t>件のみが入力された。内容については特段、大きな議論はなかったが、カナダからの提案により、</w:t>
      </w:r>
      <w:r w:rsidRPr="00E95B31">
        <w:rPr>
          <w:rFonts w:hint="eastAsia"/>
        </w:rPr>
        <w:t>SRD</w:t>
      </w:r>
      <w:r w:rsidRPr="00E95B31">
        <w:rPr>
          <w:rFonts w:hint="eastAsia"/>
        </w:rPr>
        <w:t>を使ったアプリケーションの例として、航空機内外に設置される</w:t>
      </w:r>
      <w:r w:rsidRPr="00E95B31">
        <w:rPr>
          <w:rFonts w:hint="eastAsia"/>
        </w:rPr>
        <w:t>SRD</w:t>
      </w:r>
      <w:r w:rsidRPr="00E95B31">
        <w:rPr>
          <w:rFonts w:hint="eastAsia"/>
        </w:rPr>
        <w:t>、</w:t>
      </w:r>
      <w:r w:rsidRPr="00E95B31">
        <w:rPr>
          <w:rFonts w:hint="eastAsia"/>
        </w:rPr>
        <w:t>ID</w:t>
      </w:r>
      <w:r w:rsidRPr="00E95B31">
        <w:rPr>
          <w:rFonts w:hint="eastAsia"/>
        </w:rPr>
        <w:t>カード、貨物や家畜などの管理や流通で使われる</w:t>
      </w:r>
      <w:r w:rsidRPr="00E95B31">
        <w:rPr>
          <w:rFonts w:hint="eastAsia"/>
        </w:rPr>
        <w:t>RFID</w:t>
      </w:r>
      <w:r w:rsidRPr="00E95B31">
        <w:rPr>
          <w:rFonts w:hint="eastAsia"/>
        </w:rPr>
        <w:t>や</w:t>
      </w:r>
      <w:r w:rsidRPr="00E95B31">
        <w:rPr>
          <w:rFonts w:hint="eastAsia"/>
        </w:rPr>
        <w:t>NFC</w:t>
      </w:r>
      <w:r w:rsidRPr="00E95B31">
        <w:rPr>
          <w:rFonts w:hint="eastAsia"/>
        </w:rPr>
        <w:t>に加え、「一部の</w:t>
      </w:r>
      <w:r w:rsidRPr="00E95B31">
        <w:rPr>
          <w:rFonts w:hint="eastAsia"/>
        </w:rPr>
        <w:t>ITS</w:t>
      </w:r>
      <w:r w:rsidRPr="00E95B31">
        <w:rPr>
          <w:rFonts w:hint="eastAsia"/>
        </w:rPr>
        <w:t>（</w:t>
      </w:r>
      <w:r w:rsidRPr="00E95B31">
        <w:rPr>
          <w:rFonts w:hint="eastAsia"/>
        </w:rPr>
        <w:t>Intelligent Transport System</w:t>
      </w:r>
      <w:r w:rsidRPr="00E95B31">
        <w:rPr>
          <w:rFonts w:hint="eastAsia"/>
        </w:rPr>
        <w:t>）アプリケーション」が追加され</w:t>
      </w:r>
      <w:r w:rsidR="00597D7F" w:rsidRPr="00E95B31">
        <w:rPr>
          <w:rFonts w:hint="eastAsia"/>
        </w:rPr>
        <w:t>、採択された。</w:t>
      </w:r>
      <w:r w:rsidR="00597D7F" w:rsidRPr="00E95B31">
        <w:rPr>
          <w:rFonts w:hint="eastAsia"/>
        </w:rPr>
        <w:t>WP1B</w:t>
      </w:r>
      <w:r w:rsidR="00597D7F" w:rsidRPr="00E95B31">
        <w:rPr>
          <w:rFonts w:hint="eastAsia"/>
        </w:rPr>
        <w:t>議長からの要請により、本件は</w:t>
      </w:r>
      <w:r w:rsidR="00597D7F" w:rsidRPr="00E95B31">
        <w:rPr>
          <w:rFonts w:hint="eastAsia"/>
        </w:rPr>
        <w:t>PSAA</w:t>
      </w:r>
      <w:r w:rsidR="00597D7F" w:rsidRPr="00E95B31">
        <w:rPr>
          <w:rFonts w:hint="eastAsia"/>
        </w:rPr>
        <w:t>ではなく通常のプロセスによる承認に回されることになった。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710"/>
        <w:gridCol w:w="4590"/>
        <w:gridCol w:w="1080"/>
      </w:tblGrid>
      <w:tr w:rsidR="002E7BE6" w:rsidRPr="00B506D2" w:rsidTr="000E1C10">
        <w:tc>
          <w:tcPr>
            <w:tcW w:w="1188" w:type="dxa"/>
          </w:tcPr>
          <w:p w:rsidR="002E7BE6" w:rsidRPr="00B506D2" w:rsidRDefault="002E7BE6" w:rsidP="00AA5595">
            <w:r w:rsidRPr="00B506D2">
              <w:rPr>
                <w:rFonts w:hint="eastAsia"/>
              </w:rPr>
              <w:t>文書番号</w:t>
            </w:r>
          </w:p>
        </w:tc>
        <w:tc>
          <w:tcPr>
            <w:tcW w:w="1080" w:type="dxa"/>
          </w:tcPr>
          <w:p w:rsidR="002E7BE6" w:rsidRPr="00B506D2" w:rsidRDefault="002E7BE6" w:rsidP="00AA5595">
            <w:r w:rsidRPr="00B506D2">
              <w:rPr>
                <w:rFonts w:hint="eastAsia"/>
              </w:rPr>
              <w:t>提出元</w:t>
            </w:r>
          </w:p>
        </w:tc>
        <w:tc>
          <w:tcPr>
            <w:tcW w:w="1710" w:type="dxa"/>
          </w:tcPr>
          <w:p w:rsidR="002E7BE6" w:rsidRPr="00B506D2" w:rsidRDefault="002E7BE6" w:rsidP="00AA5595">
            <w:r w:rsidRPr="00B506D2">
              <w:rPr>
                <w:rFonts w:hint="eastAsia"/>
              </w:rPr>
              <w:t>勧告名</w:t>
            </w:r>
          </w:p>
        </w:tc>
        <w:tc>
          <w:tcPr>
            <w:tcW w:w="4590" w:type="dxa"/>
          </w:tcPr>
          <w:p w:rsidR="002E7BE6" w:rsidRPr="00B506D2" w:rsidRDefault="002E7BE6" w:rsidP="00AA5595">
            <w:r w:rsidRPr="00B506D2">
              <w:rPr>
                <w:rFonts w:hint="eastAsia"/>
              </w:rPr>
              <w:t>表題</w:t>
            </w:r>
          </w:p>
        </w:tc>
        <w:tc>
          <w:tcPr>
            <w:tcW w:w="1080" w:type="dxa"/>
          </w:tcPr>
          <w:p w:rsidR="002E7BE6" w:rsidRPr="00B506D2" w:rsidRDefault="002E7BE6" w:rsidP="00AA5595">
            <w:r w:rsidRPr="00B506D2">
              <w:rPr>
                <w:rFonts w:hint="eastAsia"/>
              </w:rPr>
              <w:t>種別</w:t>
            </w:r>
          </w:p>
        </w:tc>
      </w:tr>
      <w:tr w:rsidR="002E7BE6" w:rsidRPr="00B506D2" w:rsidTr="000E1C10">
        <w:tc>
          <w:tcPr>
            <w:tcW w:w="1188" w:type="dxa"/>
          </w:tcPr>
          <w:p w:rsidR="002E7BE6" w:rsidRPr="00B506D2" w:rsidRDefault="002569BE" w:rsidP="00AA5595">
            <w:r w:rsidRPr="00B506D2">
              <w:rPr>
                <w:rFonts w:hint="eastAsia"/>
              </w:rPr>
              <w:t>1/178</w:t>
            </w:r>
            <w:r w:rsidR="002E7BE6" w:rsidRPr="00B506D2">
              <w:rPr>
                <w:rFonts w:hint="eastAsia"/>
              </w:rPr>
              <w:t xml:space="preserve"> </w:t>
            </w:r>
          </w:p>
        </w:tc>
        <w:tc>
          <w:tcPr>
            <w:tcW w:w="1080" w:type="dxa"/>
          </w:tcPr>
          <w:p w:rsidR="002E7BE6" w:rsidRPr="00B506D2" w:rsidRDefault="002E7BE6" w:rsidP="00AA5595">
            <w:r w:rsidRPr="00B506D2">
              <w:rPr>
                <w:rFonts w:hint="eastAsia"/>
              </w:rPr>
              <w:t>WP1</w:t>
            </w:r>
            <w:r w:rsidR="002569BE" w:rsidRPr="00B506D2">
              <w:rPr>
                <w:rFonts w:hint="eastAsia"/>
              </w:rPr>
              <w:t>B</w:t>
            </w:r>
          </w:p>
        </w:tc>
        <w:tc>
          <w:tcPr>
            <w:tcW w:w="1710" w:type="dxa"/>
          </w:tcPr>
          <w:p w:rsidR="002E7BE6" w:rsidRPr="00B506D2" w:rsidRDefault="000E1C10" w:rsidP="00AA5595">
            <w:r w:rsidRPr="00B506D2">
              <w:t>SM.</w:t>
            </w:r>
            <w:r w:rsidR="002569BE" w:rsidRPr="00B506D2">
              <w:rPr>
                <w:rFonts w:hint="eastAsia"/>
              </w:rPr>
              <w:t>[SRD]</w:t>
            </w:r>
          </w:p>
        </w:tc>
        <w:tc>
          <w:tcPr>
            <w:tcW w:w="4590" w:type="dxa"/>
          </w:tcPr>
          <w:p w:rsidR="002E7BE6" w:rsidRPr="00AA5595" w:rsidRDefault="002569BE" w:rsidP="00AA5595">
            <w:r w:rsidRPr="00AA5595">
              <w:t>Frequency ranges for global or regional harmonization of short-range devices (SRDs)</w:t>
            </w:r>
          </w:p>
        </w:tc>
        <w:tc>
          <w:tcPr>
            <w:tcW w:w="1080" w:type="dxa"/>
          </w:tcPr>
          <w:p w:rsidR="002E7BE6" w:rsidRPr="00B506D2" w:rsidRDefault="002569BE" w:rsidP="00AA5595">
            <w:r w:rsidRPr="00B506D2">
              <w:rPr>
                <w:rFonts w:hint="eastAsia"/>
              </w:rPr>
              <w:t>新勧告</w:t>
            </w:r>
          </w:p>
        </w:tc>
      </w:tr>
    </w:tbl>
    <w:p w:rsidR="00D55CA4" w:rsidRDefault="00D55CA4" w:rsidP="00B97BAB"/>
    <w:p w:rsidR="003354A8" w:rsidRPr="00B506D2" w:rsidRDefault="00EA578E" w:rsidP="006B3D8A">
      <w:pPr>
        <w:pStyle w:val="Style205pt11pt"/>
        <w:ind w:firstLine="281"/>
      </w:pPr>
      <w:r>
        <w:rPr>
          <w:rFonts w:hint="eastAsia"/>
        </w:rPr>
        <w:t>1.3</w:t>
      </w:r>
      <w:r>
        <w:rPr>
          <w:rFonts w:hint="eastAsia"/>
        </w:rPr>
        <w:t xml:space="preserve">　</w:t>
      </w:r>
      <w:r w:rsidR="003354A8" w:rsidRPr="00B506D2">
        <w:rPr>
          <w:rFonts w:hint="eastAsia"/>
        </w:rPr>
        <w:t>WP1C</w:t>
      </w:r>
      <w:r w:rsidR="003354A8" w:rsidRPr="00B506D2">
        <w:rPr>
          <w:rFonts w:hint="eastAsia"/>
        </w:rPr>
        <w:t>からの勧告案</w:t>
      </w:r>
    </w:p>
    <w:p w:rsidR="00865BA1" w:rsidRPr="00B506D2" w:rsidRDefault="00865BA1" w:rsidP="00D55CA4">
      <w:pPr>
        <w:pStyle w:val="a5"/>
      </w:pPr>
      <w:r w:rsidRPr="00B506D2">
        <w:t>入力文書</w:t>
      </w:r>
      <w:r w:rsidRPr="00B506D2">
        <w:t xml:space="preserve">  </w:t>
      </w:r>
      <w:r w:rsidRPr="00B506D2">
        <w:rPr>
          <w:rFonts w:hint="eastAsia"/>
        </w:rPr>
        <w:t>Doc. 1/150, 1/152, 1/157, 1/160, 1/161</w:t>
      </w:r>
    </w:p>
    <w:p w:rsidR="003354A8" w:rsidRPr="00E95B31" w:rsidRDefault="00597D7F" w:rsidP="00E95B31">
      <w:r w:rsidRPr="00E95B31">
        <w:rPr>
          <w:rFonts w:hint="eastAsia"/>
        </w:rPr>
        <w:t xml:space="preserve">1/150 </w:t>
      </w:r>
      <w:r w:rsidRPr="00E95B31">
        <w:rPr>
          <w:rFonts w:hint="eastAsia"/>
        </w:rPr>
        <w:t>（電波監視用受信機のスキャン速度の測定に関する試験手順）、</w:t>
      </w:r>
      <w:r w:rsidR="003354A8" w:rsidRPr="00E95B31">
        <w:rPr>
          <w:rFonts w:hint="eastAsia"/>
        </w:rPr>
        <w:t>1/152</w:t>
      </w:r>
      <w:r w:rsidRPr="00E95B31">
        <w:rPr>
          <w:rFonts w:hint="eastAsia"/>
        </w:rPr>
        <w:t>（</w:t>
      </w:r>
      <w:r w:rsidR="003354A8" w:rsidRPr="00E95B31">
        <w:rPr>
          <w:rFonts w:hint="eastAsia"/>
        </w:rPr>
        <w:t>電波監視局における方向探知及び位置特定</w:t>
      </w:r>
      <w:r w:rsidRPr="00E95B31">
        <w:rPr>
          <w:rFonts w:hint="eastAsia"/>
        </w:rPr>
        <w:t>）、</w:t>
      </w:r>
      <w:r w:rsidR="003354A8" w:rsidRPr="00E95B31">
        <w:rPr>
          <w:rFonts w:hint="eastAsia"/>
        </w:rPr>
        <w:t>1/157</w:t>
      </w:r>
      <w:r w:rsidRPr="00E95B31">
        <w:rPr>
          <w:rFonts w:hint="eastAsia"/>
        </w:rPr>
        <w:t>（</w:t>
      </w:r>
      <w:r w:rsidR="003354A8" w:rsidRPr="00E95B31">
        <w:rPr>
          <w:rFonts w:hint="eastAsia"/>
        </w:rPr>
        <w:t>移動電波監視ユニット</w:t>
      </w:r>
      <w:r w:rsidRPr="00E95B31">
        <w:rPr>
          <w:rFonts w:hint="eastAsia"/>
        </w:rPr>
        <w:t>）、</w:t>
      </w:r>
      <w:r w:rsidR="003354A8" w:rsidRPr="00E95B31">
        <w:rPr>
          <w:rFonts w:hint="eastAsia"/>
        </w:rPr>
        <w:t>1/160</w:t>
      </w:r>
      <w:r w:rsidRPr="00E95B31">
        <w:rPr>
          <w:rFonts w:hint="eastAsia"/>
        </w:rPr>
        <w:t>（</w:t>
      </w:r>
      <w:r w:rsidR="003354A8" w:rsidRPr="00E95B31">
        <w:rPr>
          <w:rFonts w:hint="eastAsia"/>
        </w:rPr>
        <w:t>デジタル放送信号の測定手法</w:t>
      </w:r>
      <w:r w:rsidRPr="00E95B31">
        <w:rPr>
          <w:rFonts w:hint="eastAsia"/>
        </w:rPr>
        <w:t>）、</w:t>
      </w:r>
      <w:r w:rsidRPr="00E95B31">
        <w:rPr>
          <w:rFonts w:hint="eastAsia"/>
        </w:rPr>
        <w:t>1/</w:t>
      </w:r>
      <w:r w:rsidR="003354A8" w:rsidRPr="00E95B31">
        <w:rPr>
          <w:rFonts w:hint="eastAsia"/>
        </w:rPr>
        <w:t>161</w:t>
      </w:r>
      <w:r w:rsidRPr="00E95B31">
        <w:rPr>
          <w:rFonts w:hint="eastAsia"/>
        </w:rPr>
        <w:t>（</w:t>
      </w:r>
      <w:r w:rsidR="003354A8" w:rsidRPr="00E95B31">
        <w:rPr>
          <w:rFonts w:hint="eastAsia"/>
        </w:rPr>
        <w:t>地理的座標登録によるルート沿いの電界強度測定</w:t>
      </w:r>
      <w:r w:rsidRPr="00E95B31">
        <w:rPr>
          <w:rFonts w:hint="eastAsia"/>
        </w:rPr>
        <w:t>）の</w:t>
      </w:r>
      <w:r w:rsidRPr="00E95B31">
        <w:rPr>
          <w:rFonts w:hint="eastAsia"/>
        </w:rPr>
        <w:t>5</w:t>
      </w:r>
      <w:r w:rsidRPr="00E95B31">
        <w:rPr>
          <w:rFonts w:hint="eastAsia"/>
        </w:rPr>
        <w:t>件の文書はすべて議論なく採択され、</w:t>
      </w:r>
      <w:r w:rsidRPr="00E95B31">
        <w:rPr>
          <w:rFonts w:hint="eastAsia"/>
        </w:rPr>
        <w:t>PSAA</w:t>
      </w:r>
      <w:r w:rsidRPr="00E95B31">
        <w:rPr>
          <w:rFonts w:hint="eastAsia"/>
        </w:rPr>
        <w:t>による承認に回された。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990"/>
        <w:gridCol w:w="1440"/>
        <w:gridCol w:w="5040"/>
        <w:gridCol w:w="1080"/>
      </w:tblGrid>
      <w:tr w:rsidR="003354A8" w:rsidRPr="00B506D2" w:rsidTr="00EC1E76">
        <w:tc>
          <w:tcPr>
            <w:tcW w:w="1098" w:type="dxa"/>
          </w:tcPr>
          <w:p w:rsidR="003354A8" w:rsidRPr="00B506D2" w:rsidRDefault="003354A8" w:rsidP="00AA5595">
            <w:r w:rsidRPr="00B506D2">
              <w:rPr>
                <w:rFonts w:hint="eastAsia"/>
              </w:rPr>
              <w:t>文書番号</w:t>
            </w:r>
          </w:p>
        </w:tc>
        <w:tc>
          <w:tcPr>
            <w:tcW w:w="990" w:type="dxa"/>
          </w:tcPr>
          <w:p w:rsidR="003354A8" w:rsidRPr="00B506D2" w:rsidRDefault="003354A8" w:rsidP="00AA5595">
            <w:r w:rsidRPr="00B506D2">
              <w:rPr>
                <w:rFonts w:hint="eastAsia"/>
              </w:rPr>
              <w:t>提出元</w:t>
            </w:r>
          </w:p>
        </w:tc>
        <w:tc>
          <w:tcPr>
            <w:tcW w:w="1440" w:type="dxa"/>
          </w:tcPr>
          <w:p w:rsidR="003354A8" w:rsidRPr="00B506D2" w:rsidRDefault="003354A8" w:rsidP="00AA5595">
            <w:r w:rsidRPr="00B506D2">
              <w:rPr>
                <w:rFonts w:hint="eastAsia"/>
              </w:rPr>
              <w:t>勧告名</w:t>
            </w:r>
          </w:p>
        </w:tc>
        <w:tc>
          <w:tcPr>
            <w:tcW w:w="5040" w:type="dxa"/>
          </w:tcPr>
          <w:p w:rsidR="003354A8" w:rsidRPr="00B506D2" w:rsidRDefault="003354A8" w:rsidP="00AA5595">
            <w:r w:rsidRPr="00B506D2">
              <w:rPr>
                <w:rFonts w:hint="eastAsia"/>
              </w:rPr>
              <w:t>表題</w:t>
            </w:r>
          </w:p>
        </w:tc>
        <w:tc>
          <w:tcPr>
            <w:tcW w:w="1080" w:type="dxa"/>
          </w:tcPr>
          <w:p w:rsidR="003354A8" w:rsidRPr="00B506D2" w:rsidRDefault="003354A8" w:rsidP="00AA5595">
            <w:r w:rsidRPr="00B506D2">
              <w:rPr>
                <w:rFonts w:hint="eastAsia"/>
              </w:rPr>
              <w:t>種別</w:t>
            </w:r>
          </w:p>
        </w:tc>
      </w:tr>
      <w:tr w:rsidR="003354A8" w:rsidRPr="00B506D2" w:rsidTr="00EC1E76">
        <w:tc>
          <w:tcPr>
            <w:tcW w:w="1098" w:type="dxa"/>
          </w:tcPr>
          <w:p w:rsidR="003354A8" w:rsidRPr="00B506D2" w:rsidRDefault="003354A8" w:rsidP="00AA5595">
            <w:r w:rsidRPr="00B506D2">
              <w:rPr>
                <w:rFonts w:hint="eastAsia"/>
              </w:rPr>
              <w:t>1/150</w:t>
            </w:r>
          </w:p>
        </w:tc>
        <w:tc>
          <w:tcPr>
            <w:tcW w:w="990" w:type="dxa"/>
          </w:tcPr>
          <w:p w:rsidR="003354A8" w:rsidRPr="00B506D2" w:rsidRDefault="003354A8" w:rsidP="00AA5595">
            <w:r w:rsidRPr="00B506D2">
              <w:rPr>
                <w:rFonts w:hint="eastAsia"/>
              </w:rPr>
              <w:t>WP1C</w:t>
            </w:r>
          </w:p>
        </w:tc>
        <w:tc>
          <w:tcPr>
            <w:tcW w:w="1440" w:type="dxa"/>
          </w:tcPr>
          <w:p w:rsidR="003354A8" w:rsidRPr="00B506D2" w:rsidRDefault="003354A8" w:rsidP="00AA5595">
            <w:r w:rsidRPr="00B506D2">
              <w:t>SM.1839</w:t>
            </w:r>
          </w:p>
        </w:tc>
        <w:tc>
          <w:tcPr>
            <w:tcW w:w="5040" w:type="dxa"/>
          </w:tcPr>
          <w:p w:rsidR="003354A8" w:rsidRPr="00AA5595" w:rsidRDefault="003354A8" w:rsidP="00AA5595">
            <w:r w:rsidRPr="00AA5595">
              <w:t>Test procedure for measuring the scanning speed of radio monitoring receivers</w:t>
            </w:r>
          </w:p>
        </w:tc>
        <w:tc>
          <w:tcPr>
            <w:tcW w:w="1080" w:type="dxa"/>
          </w:tcPr>
          <w:p w:rsidR="003354A8" w:rsidRPr="00B506D2" w:rsidRDefault="003354A8" w:rsidP="00AA5595">
            <w:r w:rsidRPr="00B506D2">
              <w:rPr>
                <w:rFonts w:hint="eastAsia"/>
              </w:rPr>
              <w:t>改定</w:t>
            </w:r>
          </w:p>
        </w:tc>
      </w:tr>
      <w:tr w:rsidR="003354A8" w:rsidRPr="00B506D2" w:rsidTr="00EC1E76">
        <w:tc>
          <w:tcPr>
            <w:tcW w:w="1098" w:type="dxa"/>
          </w:tcPr>
          <w:p w:rsidR="003354A8" w:rsidRPr="00B506D2" w:rsidRDefault="003354A8" w:rsidP="00AA5595">
            <w:r w:rsidRPr="00B506D2">
              <w:rPr>
                <w:rFonts w:hint="eastAsia"/>
              </w:rPr>
              <w:t>1/152</w:t>
            </w:r>
          </w:p>
        </w:tc>
        <w:tc>
          <w:tcPr>
            <w:tcW w:w="990" w:type="dxa"/>
          </w:tcPr>
          <w:p w:rsidR="003354A8" w:rsidRPr="00B506D2" w:rsidRDefault="003354A8" w:rsidP="00AA5595">
            <w:r w:rsidRPr="00B506D2">
              <w:rPr>
                <w:rFonts w:hint="eastAsia"/>
              </w:rPr>
              <w:t>WP1C</w:t>
            </w:r>
          </w:p>
        </w:tc>
        <w:tc>
          <w:tcPr>
            <w:tcW w:w="1440" w:type="dxa"/>
          </w:tcPr>
          <w:p w:rsidR="003354A8" w:rsidRPr="00B506D2" w:rsidRDefault="003354A8" w:rsidP="00AA5595">
            <w:r w:rsidRPr="00B506D2">
              <w:t>SM.854-2</w:t>
            </w:r>
          </w:p>
        </w:tc>
        <w:tc>
          <w:tcPr>
            <w:tcW w:w="5040" w:type="dxa"/>
          </w:tcPr>
          <w:p w:rsidR="003354A8" w:rsidRPr="00AA5595" w:rsidRDefault="003354A8" w:rsidP="00AA5595">
            <w:r w:rsidRPr="00AA5595">
              <w:t>Direction finding and location determination at monitoring stations</w:t>
            </w:r>
          </w:p>
        </w:tc>
        <w:tc>
          <w:tcPr>
            <w:tcW w:w="1080" w:type="dxa"/>
          </w:tcPr>
          <w:p w:rsidR="003354A8" w:rsidRPr="00B506D2" w:rsidRDefault="003354A8" w:rsidP="00AA5595">
            <w:r w:rsidRPr="00B506D2">
              <w:rPr>
                <w:rFonts w:hint="eastAsia"/>
              </w:rPr>
              <w:t>改定</w:t>
            </w:r>
          </w:p>
        </w:tc>
      </w:tr>
      <w:tr w:rsidR="003354A8" w:rsidRPr="00B506D2" w:rsidTr="00EC1E76">
        <w:tc>
          <w:tcPr>
            <w:tcW w:w="1098" w:type="dxa"/>
          </w:tcPr>
          <w:p w:rsidR="003354A8" w:rsidRPr="00B506D2" w:rsidRDefault="003354A8" w:rsidP="00AA5595">
            <w:r w:rsidRPr="00B506D2">
              <w:t>1/</w:t>
            </w:r>
            <w:r w:rsidRPr="00B506D2">
              <w:rPr>
                <w:rFonts w:hint="eastAsia"/>
              </w:rPr>
              <w:t>157</w:t>
            </w:r>
            <w:r w:rsidRPr="00B506D2">
              <w:t xml:space="preserve"> </w:t>
            </w:r>
          </w:p>
        </w:tc>
        <w:tc>
          <w:tcPr>
            <w:tcW w:w="990" w:type="dxa"/>
          </w:tcPr>
          <w:p w:rsidR="003354A8" w:rsidRPr="00B506D2" w:rsidRDefault="003354A8" w:rsidP="00AA5595">
            <w:r w:rsidRPr="00B506D2">
              <w:rPr>
                <w:rFonts w:hint="eastAsia"/>
              </w:rPr>
              <w:t>WP1C</w:t>
            </w:r>
          </w:p>
        </w:tc>
        <w:tc>
          <w:tcPr>
            <w:tcW w:w="1440" w:type="dxa"/>
          </w:tcPr>
          <w:p w:rsidR="003354A8" w:rsidRPr="00B506D2" w:rsidRDefault="003354A8" w:rsidP="00AA5595">
            <w:r w:rsidRPr="00B506D2">
              <w:t>SM.1723-1</w:t>
            </w:r>
          </w:p>
        </w:tc>
        <w:tc>
          <w:tcPr>
            <w:tcW w:w="5040" w:type="dxa"/>
          </w:tcPr>
          <w:p w:rsidR="003354A8" w:rsidRPr="00B506D2" w:rsidRDefault="003354A8" w:rsidP="00AA5595">
            <w:r w:rsidRPr="00B506D2">
              <w:t>Mobile spectrum monitoring unit</w:t>
            </w:r>
          </w:p>
        </w:tc>
        <w:tc>
          <w:tcPr>
            <w:tcW w:w="1080" w:type="dxa"/>
          </w:tcPr>
          <w:p w:rsidR="003354A8" w:rsidRPr="00B506D2" w:rsidRDefault="003354A8" w:rsidP="00AA5595">
            <w:r w:rsidRPr="00B506D2">
              <w:rPr>
                <w:rFonts w:hint="eastAsia"/>
              </w:rPr>
              <w:t>改定</w:t>
            </w:r>
          </w:p>
        </w:tc>
      </w:tr>
      <w:tr w:rsidR="003354A8" w:rsidRPr="00B506D2" w:rsidTr="00EC1E76">
        <w:tc>
          <w:tcPr>
            <w:tcW w:w="1098" w:type="dxa"/>
          </w:tcPr>
          <w:p w:rsidR="003354A8" w:rsidRPr="00B506D2" w:rsidRDefault="003354A8" w:rsidP="00AA5595">
            <w:r w:rsidRPr="00B506D2">
              <w:t>1/</w:t>
            </w:r>
            <w:r w:rsidRPr="00B506D2">
              <w:rPr>
                <w:rFonts w:hint="eastAsia"/>
              </w:rPr>
              <w:t>160</w:t>
            </w:r>
          </w:p>
        </w:tc>
        <w:tc>
          <w:tcPr>
            <w:tcW w:w="990" w:type="dxa"/>
          </w:tcPr>
          <w:p w:rsidR="003354A8" w:rsidRPr="00B506D2" w:rsidRDefault="003354A8" w:rsidP="00AA5595">
            <w:r w:rsidRPr="00B506D2">
              <w:rPr>
                <w:rFonts w:hint="eastAsia"/>
              </w:rPr>
              <w:t>WP1C</w:t>
            </w:r>
          </w:p>
        </w:tc>
        <w:tc>
          <w:tcPr>
            <w:tcW w:w="1440" w:type="dxa"/>
          </w:tcPr>
          <w:p w:rsidR="003354A8" w:rsidRPr="00B506D2" w:rsidRDefault="003354A8" w:rsidP="00AA5595">
            <w:r w:rsidRPr="00B506D2">
              <w:t>SM.1682</w:t>
            </w:r>
          </w:p>
        </w:tc>
        <w:tc>
          <w:tcPr>
            <w:tcW w:w="5040" w:type="dxa"/>
          </w:tcPr>
          <w:p w:rsidR="003354A8" w:rsidRPr="00AA5595" w:rsidRDefault="003354A8" w:rsidP="00AA5595">
            <w:r w:rsidRPr="00AA5595">
              <w:t>Methods for measurements on digital broadcasting signals</w:t>
            </w:r>
          </w:p>
        </w:tc>
        <w:tc>
          <w:tcPr>
            <w:tcW w:w="1080" w:type="dxa"/>
          </w:tcPr>
          <w:p w:rsidR="003354A8" w:rsidRPr="00B506D2" w:rsidRDefault="003354A8" w:rsidP="00AA5595">
            <w:r w:rsidRPr="00B506D2">
              <w:rPr>
                <w:rFonts w:hint="eastAsia"/>
              </w:rPr>
              <w:t>改定</w:t>
            </w:r>
          </w:p>
        </w:tc>
      </w:tr>
      <w:tr w:rsidR="003354A8" w:rsidRPr="00B506D2" w:rsidTr="00EC1E76">
        <w:tc>
          <w:tcPr>
            <w:tcW w:w="1098" w:type="dxa"/>
          </w:tcPr>
          <w:p w:rsidR="003354A8" w:rsidRPr="00B506D2" w:rsidRDefault="003354A8" w:rsidP="00AA5595">
            <w:r w:rsidRPr="00B506D2">
              <w:t>1/</w:t>
            </w:r>
            <w:r w:rsidRPr="00B506D2">
              <w:rPr>
                <w:rFonts w:hint="eastAsia"/>
              </w:rPr>
              <w:t>161</w:t>
            </w:r>
          </w:p>
        </w:tc>
        <w:tc>
          <w:tcPr>
            <w:tcW w:w="990" w:type="dxa"/>
          </w:tcPr>
          <w:p w:rsidR="003354A8" w:rsidRPr="00B506D2" w:rsidRDefault="003354A8" w:rsidP="00AA5595">
            <w:r w:rsidRPr="00B506D2">
              <w:rPr>
                <w:rFonts w:hint="eastAsia"/>
              </w:rPr>
              <w:t>WP1C</w:t>
            </w:r>
          </w:p>
        </w:tc>
        <w:tc>
          <w:tcPr>
            <w:tcW w:w="1440" w:type="dxa"/>
          </w:tcPr>
          <w:p w:rsidR="003354A8" w:rsidRPr="00B506D2" w:rsidRDefault="003354A8" w:rsidP="00AA5595">
            <w:r w:rsidRPr="00B506D2">
              <w:t xml:space="preserve">SM.1708  </w:t>
            </w:r>
          </w:p>
        </w:tc>
        <w:tc>
          <w:tcPr>
            <w:tcW w:w="5040" w:type="dxa"/>
          </w:tcPr>
          <w:p w:rsidR="003354A8" w:rsidRPr="00AA5595" w:rsidRDefault="003354A8" w:rsidP="00AA5595">
            <w:r w:rsidRPr="00AA5595">
              <w:t>Field-strength measurements along a route with geographical coordinate registrations</w:t>
            </w:r>
          </w:p>
        </w:tc>
        <w:tc>
          <w:tcPr>
            <w:tcW w:w="1080" w:type="dxa"/>
            <w:tcBorders>
              <w:bottom w:val="single" w:sz="4" w:space="0" w:color="auto"/>
            </w:tcBorders>
          </w:tcPr>
          <w:p w:rsidR="003354A8" w:rsidRPr="00B506D2" w:rsidRDefault="003354A8" w:rsidP="00AA5595">
            <w:r w:rsidRPr="00B506D2">
              <w:rPr>
                <w:rFonts w:hint="eastAsia"/>
              </w:rPr>
              <w:t>改定</w:t>
            </w:r>
          </w:p>
        </w:tc>
      </w:tr>
    </w:tbl>
    <w:p w:rsidR="003354A8" w:rsidRPr="00B506D2" w:rsidRDefault="003354A8" w:rsidP="00B506D2"/>
    <w:p w:rsidR="00D03536" w:rsidRPr="00B506D2" w:rsidRDefault="00267030" w:rsidP="00D55CA4">
      <w:pPr>
        <w:pStyle w:val="105pt16pt"/>
      </w:pPr>
      <w:r>
        <w:br w:type="page"/>
      </w:r>
      <w:r w:rsidR="00F957F1" w:rsidRPr="00B506D2">
        <w:rPr>
          <w:rFonts w:hint="eastAsia"/>
        </w:rPr>
        <w:t>ITU-R</w:t>
      </w:r>
      <w:r w:rsidR="00F957F1" w:rsidRPr="00B506D2">
        <w:rPr>
          <w:rFonts w:hint="eastAsia"/>
        </w:rPr>
        <w:t>決議</w:t>
      </w:r>
      <w:r w:rsidR="00F957F1" w:rsidRPr="00B506D2">
        <w:rPr>
          <w:rFonts w:hint="eastAsia"/>
        </w:rPr>
        <w:t>1-5</w:t>
      </w:r>
      <w:r w:rsidR="00F957F1" w:rsidRPr="00B506D2">
        <w:rPr>
          <w:rFonts w:hint="eastAsia"/>
        </w:rPr>
        <w:t>の§</w:t>
      </w:r>
      <w:r w:rsidR="00F957F1" w:rsidRPr="00B506D2">
        <w:rPr>
          <w:rFonts w:hint="eastAsia"/>
        </w:rPr>
        <w:t>11.5</w:t>
      </w:r>
      <w:r w:rsidR="00F957F1" w:rsidRPr="00B506D2">
        <w:rPr>
          <w:rFonts w:hint="eastAsia"/>
        </w:rPr>
        <w:t>に基づく</w:t>
      </w:r>
      <w:r w:rsidR="00D03536" w:rsidRPr="00B506D2">
        <w:rPr>
          <w:rFonts w:hint="eastAsia"/>
        </w:rPr>
        <w:t>勧告</w:t>
      </w:r>
      <w:r w:rsidR="00C05329" w:rsidRPr="00B506D2">
        <w:rPr>
          <w:rFonts w:hint="eastAsia"/>
        </w:rPr>
        <w:t>の</w:t>
      </w:r>
      <w:r w:rsidR="00C05329" w:rsidRPr="00B506D2">
        <w:rPr>
          <w:rFonts w:hint="eastAsia"/>
        </w:rPr>
        <w:t>Editorial</w:t>
      </w:r>
      <w:r w:rsidR="00C05329" w:rsidRPr="00B506D2">
        <w:rPr>
          <w:rFonts w:hint="eastAsia"/>
        </w:rPr>
        <w:t>な修正</w:t>
      </w:r>
    </w:p>
    <w:p w:rsidR="00D03536" w:rsidRPr="00B506D2" w:rsidRDefault="00D03536" w:rsidP="00D55CA4">
      <w:pPr>
        <w:pStyle w:val="a5"/>
      </w:pPr>
      <w:r w:rsidRPr="00B506D2">
        <w:t>入力文書</w:t>
      </w:r>
      <w:r w:rsidRPr="00B506D2">
        <w:t xml:space="preserve">  </w:t>
      </w:r>
      <w:r w:rsidR="008206DC" w:rsidRPr="00B506D2">
        <w:rPr>
          <w:rFonts w:hint="eastAsia"/>
        </w:rPr>
        <w:t>Doc.</w:t>
      </w:r>
      <w:r w:rsidRPr="00B506D2">
        <w:rPr>
          <w:rFonts w:hint="eastAsia"/>
        </w:rPr>
        <w:t>1/</w:t>
      </w:r>
      <w:r w:rsidR="00597D7F" w:rsidRPr="00B506D2">
        <w:rPr>
          <w:rFonts w:hint="eastAsia"/>
        </w:rPr>
        <w:t>151, 1/170, 1/176</w:t>
      </w:r>
    </w:p>
    <w:p w:rsidR="00267030" w:rsidRPr="00E95B31" w:rsidRDefault="006B06B8" w:rsidP="00E95B31">
      <w:r w:rsidRPr="00E95B31">
        <w:rPr>
          <w:rFonts w:hint="eastAsia"/>
        </w:rPr>
        <w:t>1/151, 1/170, 1/176</w:t>
      </w:r>
      <w:r w:rsidRPr="00E95B31">
        <w:rPr>
          <w:rFonts w:hint="eastAsia"/>
        </w:rPr>
        <w:t>は各</w:t>
      </w:r>
      <w:r w:rsidRPr="00E95B31">
        <w:rPr>
          <w:rFonts w:hint="eastAsia"/>
        </w:rPr>
        <w:t>WP</w:t>
      </w:r>
      <w:r w:rsidRPr="00E95B31">
        <w:rPr>
          <w:rFonts w:hint="eastAsia"/>
        </w:rPr>
        <w:t>から入力された既存の勧告の</w:t>
      </w:r>
      <w:r w:rsidRPr="00E95B31">
        <w:rPr>
          <w:rFonts w:hint="eastAsia"/>
        </w:rPr>
        <w:t>Editorial</w:t>
      </w:r>
      <w:r w:rsidRPr="00E95B31">
        <w:rPr>
          <w:rFonts w:hint="eastAsia"/>
        </w:rPr>
        <w:t>な修正を求める文書であり、</w:t>
      </w:r>
      <w:r w:rsidRPr="00E95B31">
        <w:rPr>
          <w:rFonts w:hint="eastAsia"/>
        </w:rPr>
        <w:t>WP1A</w:t>
      </w:r>
      <w:r w:rsidRPr="00E95B31">
        <w:rPr>
          <w:rFonts w:hint="eastAsia"/>
        </w:rPr>
        <w:t>から提出された</w:t>
      </w:r>
      <w:r w:rsidRPr="00E95B31">
        <w:rPr>
          <w:rFonts w:hint="eastAsia"/>
        </w:rPr>
        <w:t>1/170</w:t>
      </w:r>
      <w:r w:rsidRPr="00E95B31">
        <w:rPr>
          <w:rFonts w:hint="eastAsia"/>
        </w:rPr>
        <w:t>には</w:t>
      </w:r>
      <w:r w:rsidRPr="00E95B31">
        <w:rPr>
          <w:rFonts w:hint="eastAsia"/>
        </w:rPr>
        <w:t>7</w:t>
      </w:r>
      <w:r w:rsidRPr="00E95B31">
        <w:rPr>
          <w:rFonts w:hint="eastAsia"/>
        </w:rPr>
        <w:t>件の勧告の修正提案が、</w:t>
      </w:r>
      <w:r w:rsidRPr="00E95B31">
        <w:rPr>
          <w:rFonts w:hint="eastAsia"/>
        </w:rPr>
        <w:t>WP1B</w:t>
      </w:r>
      <w:r w:rsidRPr="00E95B31">
        <w:rPr>
          <w:rFonts w:hint="eastAsia"/>
        </w:rPr>
        <w:t>から提出された</w:t>
      </w:r>
      <w:r w:rsidRPr="00E95B31">
        <w:rPr>
          <w:rFonts w:hint="eastAsia"/>
        </w:rPr>
        <w:t>1/176</w:t>
      </w:r>
      <w:r w:rsidRPr="00E95B31">
        <w:rPr>
          <w:rFonts w:hint="eastAsia"/>
        </w:rPr>
        <w:t>には</w:t>
      </w:r>
      <w:r w:rsidRPr="00E95B31">
        <w:rPr>
          <w:rFonts w:hint="eastAsia"/>
        </w:rPr>
        <w:t>4</w:t>
      </w:r>
      <w:r w:rsidRPr="00E95B31">
        <w:rPr>
          <w:rFonts w:hint="eastAsia"/>
        </w:rPr>
        <w:t>件の勧告の修正提案が</w:t>
      </w:r>
      <w:r w:rsidR="00267030" w:rsidRPr="00E95B31">
        <w:rPr>
          <w:rFonts w:hint="eastAsia"/>
        </w:rPr>
        <w:t>、同じく</w:t>
      </w:r>
      <w:r w:rsidR="00267030" w:rsidRPr="00E95B31">
        <w:rPr>
          <w:rFonts w:hint="eastAsia"/>
        </w:rPr>
        <w:t>WP1C</w:t>
      </w:r>
      <w:r w:rsidR="00267030" w:rsidRPr="00E95B31">
        <w:rPr>
          <w:rFonts w:hint="eastAsia"/>
        </w:rPr>
        <w:t>から提出された</w:t>
      </w:r>
      <w:r w:rsidR="00267030" w:rsidRPr="00E95B31">
        <w:rPr>
          <w:rFonts w:hint="eastAsia"/>
        </w:rPr>
        <w:t>1/151</w:t>
      </w:r>
      <w:r w:rsidR="00267030" w:rsidRPr="00E95B31">
        <w:rPr>
          <w:rFonts w:hint="eastAsia"/>
        </w:rPr>
        <w:t>には</w:t>
      </w:r>
      <w:r w:rsidR="00267030" w:rsidRPr="00E95B31">
        <w:rPr>
          <w:rFonts w:hint="eastAsia"/>
        </w:rPr>
        <w:t>1</w:t>
      </w:r>
      <w:r w:rsidR="00267030" w:rsidRPr="00E95B31">
        <w:rPr>
          <w:rFonts w:hint="eastAsia"/>
        </w:rPr>
        <w:t>件の勧告の修正提案が</w:t>
      </w:r>
      <w:r w:rsidRPr="00E95B31">
        <w:rPr>
          <w:rFonts w:hint="eastAsia"/>
        </w:rPr>
        <w:t>含まれていた。</w:t>
      </w:r>
    </w:p>
    <w:p w:rsidR="00393E1B" w:rsidRPr="00E95B31" w:rsidRDefault="006B06B8" w:rsidP="00E95B31">
      <w:r w:rsidRPr="00E95B31">
        <w:rPr>
          <w:rFonts w:hint="eastAsia"/>
        </w:rPr>
        <w:t>これらについては、すべて特段の議論なく承認された。</w:t>
      </w:r>
      <w:r w:rsidR="0089601B" w:rsidRPr="00E95B31">
        <w:rPr>
          <w:rFonts w:hint="eastAsia"/>
        </w:rPr>
        <w:t>なお、</w:t>
      </w:r>
      <w:r w:rsidR="0089601B" w:rsidRPr="00E95B31">
        <w:rPr>
          <w:rFonts w:hint="eastAsia"/>
        </w:rPr>
        <w:t>1/176</w:t>
      </w:r>
      <w:r w:rsidR="0089601B" w:rsidRPr="00E95B31">
        <w:rPr>
          <w:rFonts w:hint="eastAsia"/>
        </w:rPr>
        <w:t>は</w:t>
      </w:r>
      <w:r w:rsidR="0089601B" w:rsidRPr="00E95B31">
        <w:rPr>
          <w:rFonts w:hint="eastAsia"/>
        </w:rPr>
        <w:t>2</w:t>
      </w:r>
      <w:r w:rsidR="0089601B" w:rsidRPr="00E95B31">
        <w:rPr>
          <w:rFonts w:hint="eastAsia"/>
        </w:rPr>
        <w:t>件の勧告の削除も提案しているが、これについては以下</w:t>
      </w:r>
      <w:r w:rsidR="004D4111">
        <w:rPr>
          <w:rFonts w:hint="eastAsia"/>
        </w:rPr>
        <w:t>「</w:t>
      </w:r>
      <w:r w:rsidR="00267030" w:rsidRPr="00E95B31">
        <w:rPr>
          <w:rFonts w:hint="eastAsia"/>
        </w:rPr>
        <w:t>5</w:t>
      </w:r>
      <w:r w:rsidR="004D4111">
        <w:rPr>
          <w:rFonts w:hint="eastAsia"/>
        </w:rPr>
        <w:t xml:space="preserve">. </w:t>
      </w:r>
      <w:r w:rsidR="00267030" w:rsidRPr="00E95B31">
        <w:rPr>
          <w:rFonts w:hint="eastAsia"/>
        </w:rPr>
        <w:t>勧告、研究報告、研究課題の削除」</w:t>
      </w:r>
      <w:r w:rsidR="0089601B" w:rsidRPr="00E95B31">
        <w:rPr>
          <w:rFonts w:hint="eastAsia"/>
        </w:rPr>
        <w:t>にて後述。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710"/>
        <w:gridCol w:w="4590"/>
        <w:gridCol w:w="1080"/>
      </w:tblGrid>
      <w:tr w:rsidR="0041597C" w:rsidRPr="00B506D2" w:rsidTr="00674B69">
        <w:tc>
          <w:tcPr>
            <w:tcW w:w="1188" w:type="dxa"/>
          </w:tcPr>
          <w:p w:rsidR="0041597C" w:rsidRPr="00B506D2" w:rsidRDefault="0041597C" w:rsidP="004D4111">
            <w:r w:rsidRPr="00B506D2">
              <w:rPr>
                <w:rFonts w:hint="eastAsia"/>
              </w:rPr>
              <w:t>文書番号</w:t>
            </w:r>
          </w:p>
        </w:tc>
        <w:tc>
          <w:tcPr>
            <w:tcW w:w="1080" w:type="dxa"/>
          </w:tcPr>
          <w:p w:rsidR="0041597C" w:rsidRPr="00B506D2" w:rsidRDefault="0041597C" w:rsidP="004D4111">
            <w:r w:rsidRPr="00B506D2">
              <w:rPr>
                <w:rFonts w:hint="eastAsia"/>
              </w:rPr>
              <w:t>提出元</w:t>
            </w:r>
          </w:p>
        </w:tc>
        <w:tc>
          <w:tcPr>
            <w:tcW w:w="1710" w:type="dxa"/>
          </w:tcPr>
          <w:p w:rsidR="0041597C" w:rsidRPr="00B506D2" w:rsidRDefault="0041597C" w:rsidP="004D4111">
            <w:r w:rsidRPr="00B506D2">
              <w:rPr>
                <w:rFonts w:hint="eastAsia"/>
              </w:rPr>
              <w:t>勧告名</w:t>
            </w:r>
          </w:p>
        </w:tc>
        <w:tc>
          <w:tcPr>
            <w:tcW w:w="4590" w:type="dxa"/>
          </w:tcPr>
          <w:p w:rsidR="0041597C" w:rsidRPr="00B506D2" w:rsidRDefault="0041597C" w:rsidP="004D4111">
            <w:r w:rsidRPr="00B506D2">
              <w:rPr>
                <w:rFonts w:hint="eastAsia"/>
              </w:rPr>
              <w:t>表題</w:t>
            </w:r>
          </w:p>
        </w:tc>
        <w:tc>
          <w:tcPr>
            <w:tcW w:w="1080" w:type="dxa"/>
          </w:tcPr>
          <w:p w:rsidR="0041597C" w:rsidRPr="00B506D2" w:rsidRDefault="0041597C" w:rsidP="004D4111">
            <w:r w:rsidRPr="00B506D2">
              <w:rPr>
                <w:rFonts w:hint="eastAsia"/>
              </w:rPr>
              <w:t>種別</w:t>
            </w:r>
          </w:p>
        </w:tc>
      </w:tr>
      <w:tr w:rsidR="00597D7F" w:rsidRPr="00B506D2" w:rsidTr="00674B69">
        <w:tc>
          <w:tcPr>
            <w:tcW w:w="1188" w:type="dxa"/>
          </w:tcPr>
          <w:p w:rsidR="00597D7F" w:rsidRPr="00B506D2" w:rsidRDefault="00597D7F" w:rsidP="004D4111">
            <w:r w:rsidRPr="00B506D2">
              <w:rPr>
                <w:rFonts w:hint="eastAsia"/>
              </w:rPr>
              <w:t>1/151</w:t>
            </w:r>
          </w:p>
        </w:tc>
        <w:tc>
          <w:tcPr>
            <w:tcW w:w="1080" w:type="dxa"/>
          </w:tcPr>
          <w:p w:rsidR="00597D7F" w:rsidRPr="00B506D2" w:rsidRDefault="00597D7F" w:rsidP="004D4111">
            <w:r w:rsidRPr="00B506D2">
              <w:rPr>
                <w:rFonts w:hint="eastAsia"/>
              </w:rPr>
              <w:t>WP1C</w:t>
            </w:r>
          </w:p>
        </w:tc>
        <w:tc>
          <w:tcPr>
            <w:tcW w:w="1710" w:type="dxa"/>
          </w:tcPr>
          <w:p w:rsidR="00597D7F" w:rsidRPr="00B506D2" w:rsidRDefault="001B6061" w:rsidP="004D4111">
            <w:r w:rsidRPr="00B506D2">
              <w:t>SM.1135</w:t>
            </w:r>
          </w:p>
        </w:tc>
        <w:tc>
          <w:tcPr>
            <w:tcW w:w="4590" w:type="dxa"/>
          </w:tcPr>
          <w:p w:rsidR="00597D7F" w:rsidRPr="00B506D2" w:rsidRDefault="001B6061" w:rsidP="004D4111">
            <w:r w:rsidRPr="00B506D2">
              <w:t>SINPO and SINPFEMO codes</w:t>
            </w:r>
          </w:p>
        </w:tc>
        <w:tc>
          <w:tcPr>
            <w:tcW w:w="1080" w:type="dxa"/>
          </w:tcPr>
          <w:p w:rsidR="00597D7F" w:rsidRPr="00B506D2" w:rsidRDefault="00597D7F" w:rsidP="004D4111">
            <w:r w:rsidRPr="00B506D2">
              <w:rPr>
                <w:rFonts w:hint="eastAsia"/>
              </w:rPr>
              <w:t>改定</w:t>
            </w:r>
          </w:p>
        </w:tc>
      </w:tr>
      <w:tr w:rsidR="006B06B8" w:rsidRPr="00B506D2" w:rsidTr="00674B69">
        <w:tc>
          <w:tcPr>
            <w:tcW w:w="1188" w:type="dxa"/>
            <w:vMerge w:val="restart"/>
          </w:tcPr>
          <w:p w:rsidR="006B06B8" w:rsidRPr="00B506D2" w:rsidRDefault="006B06B8" w:rsidP="004D4111">
            <w:r w:rsidRPr="00B506D2">
              <w:rPr>
                <w:rFonts w:hint="eastAsia"/>
              </w:rPr>
              <w:t xml:space="preserve">1/170 </w:t>
            </w:r>
          </w:p>
        </w:tc>
        <w:tc>
          <w:tcPr>
            <w:tcW w:w="1080" w:type="dxa"/>
            <w:vMerge w:val="restart"/>
          </w:tcPr>
          <w:p w:rsidR="006B06B8" w:rsidRPr="00B506D2" w:rsidRDefault="006B06B8" w:rsidP="004D4111">
            <w:r w:rsidRPr="00B506D2">
              <w:rPr>
                <w:rFonts w:hint="eastAsia"/>
              </w:rPr>
              <w:t>WP1A</w:t>
            </w:r>
          </w:p>
        </w:tc>
        <w:tc>
          <w:tcPr>
            <w:tcW w:w="1710" w:type="dxa"/>
          </w:tcPr>
          <w:p w:rsidR="006B06B8" w:rsidRPr="00B506D2" w:rsidRDefault="006B06B8" w:rsidP="004D4111">
            <w:r w:rsidRPr="00B506D2">
              <w:t>SM.331-4</w:t>
            </w:r>
          </w:p>
        </w:tc>
        <w:tc>
          <w:tcPr>
            <w:tcW w:w="4590" w:type="dxa"/>
          </w:tcPr>
          <w:p w:rsidR="006B06B8" w:rsidRPr="00AA5595" w:rsidRDefault="006B06B8" w:rsidP="004D4111">
            <w:r w:rsidRPr="00AA5595">
              <w:t>Noise and sensitivity of receivers</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SM.332-4</w:t>
            </w:r>
          </w:p>
        </w:tc>
        <w:tc>
          <w:tcPr>
            <w:tcW w:w="4590" w:type="dxa"/>
          </w:tcPr>
          <w:p w:rsidR="006B06B8" w:rsidRPr="00B506D2" w:rsidRDefault="006B06B8" w:rsidP="004D4111">
            <w:r w:rsidRPr="00B506D2">
              <w:t>Selectivity of receivers</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SM.851-1</w:t>
            </w:r>
          </w:p>
        </w:tc>
        <w:tc>
          <w:tcPr>
            <w:tcW w:w="4590" w:type="dxa"/>
          </w:tcPr>
          <w:p w:rsidR="006B06B8" w:rsidRPr="00AA5595" w:rsidRDefault="006B06B8" w:rsidP="004D4111">
            <w:r w:rsidRPr="00AA5595">
              <w:t>Sharing between the broadcasting service and the fixed and/or mobile services</w:t>
            </w:r>
            <w:r w:rsidRPr="00AA5595">
              <w:rPr>
                <w:rFonts w:hint="eastAsia"/>
              </w:rPr>
              <w:t xml:space="preserve"> </w:t>
            </w:r>
            <w:r w:rsidRPr="00AA5595">
              <w:t>in the VHF and UHF bands</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SM.852</w:t>
            </w:r>
          </w:p>
        </w:tc>
        <w:tc>
          <w:tcPr>
            <w:tcW w:w="4590" w:type="dxa"/>
          </w:tcPr>
          <w:p w:rsidR="006B06B8" w:rsidRPr="00AA5595" w:rsidRDefault="006B06B8" w:rsidP="004D4111">
            <w:r w:rsidRPr="00AA5595">
              <w:t>Sensitivity of radio receivers for class of emissions F3e</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SM.1045-1</w:t>
            </w:r>
          </w:p>
        </w:tc>
        <w:tc>
          <w:tcPr>
            <w:tcW w:w="4590" w:type="dxa"/>
          </w:tcPr>
          <w:p w:rsidR="006B06B8" w:rsidRPr="00B506D2" w:rsidRDefault="006B06B8" w:rsidP="004D4111">
            <w:r w:rsidRPr="00B506D2">
              <w:t>Frequency tolerance of transmitters</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SM.1446</w:t>
            </w:r>
          </w:p>
        </w:tc>
        <w:tc>
          <w:tcPr>
            <w:tcW w:w="4590" w:type="dxa"/>
          </w:tcPr>
          <w:p w:rsidR="006B06B8" w:rsidRPr="00AA5595" w:rsidRDefault="006B06B8" w:rsidP="004D4111">
            <w:r w:rsidRPr="00AA5595">
              <w:t>Definition and measurement of intermodulation products in transmitter</w:t>
            </w:r>
            <w:r w:rsidRPr="00AA5595">
              <w:rPr>
                <w:rFonts w:hint="eastAsia"/>
              </w:rPr>
              <w:t xml:space="preserve"> </w:t>
            </w:r>
            <w:r w:rsidRPr="00AA5595">
              <w:t>using frequency, phase, or complex modulation techniques</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SM.1448</w:t>
            </w:r>
          </w:p>
        </w:tc>
        <w:tc>
          <w:tcPr>
            <w:tcW w:w="4590" w:type="dxa"/>
          </w:tcPr>
          <w:p w:rsidR="006B06B8" w:rsidRPr="00AA5595" w:rsidRDefault="006B06B8" w:rsidP="004D4111">
            <w:r w:rsidRPr="00AA5595">
              <w:t>Determination of the coordination area around an earth station in</w:t>
            </w:r>
            <w:r w:rsidRPr="00AA5595">
              <w:rPr>
                <w:rFonts w:hint="eastAsia"/>
              </w:rPr>
              <w:t xml:space="preserve"> </w:t>
            </w:r>
            <w:r w:rsidRPr="00AA5595">
              <w:t>the frequency bands between 100 MHz and 105 GHz</w:t>
            </w:r>
          </w:p>
        </w:tc>
        <w:tc>
          <w:tcPr>
            <w:tcW w:w="1080" w:type="dxa"/>
          </w:tcPr>
          <w:p w:rsidR="006B06B8" w:rsidRPr="00B506D2" w:rsidRDefault="006B06B8" w:rsidP="004D4111">
            <w:r w:rsidRPr="00B506D2">
              <w:rPr>
                <w:rFonts w:hint="eastAsia"/>
              </w:rPr>
              <w:t>改定</w:t>
            </w:r>
          </w:p>
        </w:tc>
      </w:tr>
      <w:tr w:rsidR="00865BA1" w:rsidRPr="00B506D2" w:rsidTr="00865BA1">
        <w:trPr>
          <w:trHeight w:val="602"/>
        </w:trPr>
        <w:tc>
          <w:tcPr>
            <w:tcW w:w="1188" w:type="dxa"/>
            <w:vMerge w:val="restart"/>
          </w:tcPr>
          <w:p w:rsidR="00865BA1" w:rsidRPr="00B506D2" w:rsidRDefault="00865BA1" w:rsidP="004D4111">
            <w:r w:rsidRPr="00B506D2">
              <w:rPr>
                <w:rFonts w:hint="eastAsia"/>
              </w:rPr>
              <w:t>1/176</w:t>
            </w:r>
          </w:p>
        </w:tc>
        <w:tc>
          <w:tcPr>
            <w:tcW w:w="1080" w:type="dxa"/>
            <w:vMerge w:val="restart"/>
          </w:tcPr>
          <w:p w:rsidR="00865BA1" w:rsidRPr="00B506D2" w:rsidRDefault="00865BA1" w:rsidP="004D4111">
            <w:r w:rsidRPr="00B506D2">
              <w:rPr>
                <w:rFonts w:hint="eastAsia"/>
              </w:rPr>
              <w:t>WP1B</w:t>
            </w:r>
          </w:p>
        </w:tc>
        <w:tc>
          <w:tcPr>
            <w:tcW w:w="1710" w:type="dxa"/>
          </w:tcPr>
          <w:p w:rsidR="00865BA1" w:rsidRPr="00B506D2" w:rsidRDefault="00865BA1" w:rsidP="004D4111">
            <w:r w:rsidRPr="00B506D2">
              <w:t>SM.668-1</w:t>
            </w:r>
          </w:p>
        </w:tc>
        <w:tc>
          <w:tcPr>
            <w:tcW w:w="4590" w:type="dxa"/>
          </w:tcPr>
          <w:p w:rsidR="00865BA1" w:rsidRPr="00AA5595" w:rsidRDefault="00865BA1" w:rsidP="004D4111">
            <w:r w:rsidRPr="00AA5595">
              <w:t>Electronic exchange of information for spectrum management purposes</w:t>
            </w:r>
          </w:p>
        </w:tc>
        <w:tc>
          <w:tcPr>
            <w:tcW w:w="1080" w:type="dxa"/>
          </w:tcPr>
          <w:p w:rsidR="00865BA1" w:rsidRPr="00B506D2" w:rsidRDefault="00865BA1"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SM.855-1</w:t>
            </w:r>
          </w:p>
        </w:tc>
        <w:tc>
          <w:tcPr>
            <w:tcW w:w="4590" w:type="dxa"/>
          </w:tcPr>
          <w:p w:rsidR="006B06B8" w:rsidRPr="00B506D2" w:rsidRDefault="006B06B8" w:rsidP="004D4111">
            <w:r w:rsidRPr="00B506D2">
              <w:t>Multi-service telecommunication systems</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SM.1046-2</w:t>
            </w:r>
          </w:p>
        </w:tc>
        <w:tc>
          <w:tcPr>
            <w:tcW w:w="4590" w:type="dxa"/>
          </w:tcPr>
          <w:p w:rsidR="006B06B8" w:rsidRPr="00AA5595" w:rsidRDefault="006B06B8" w:rsidP="004D4111">
            <w:r w:rsidRPr="00AA5595">
              <w:t>Definition of spectrum use and efficiency of a radio system</w:t>
            </w:r>
          </w:p>
        </w:tc>
        <w:tc>
          <w:tcPr>
            <w:tcW w:w="1080" w:type="dxa"/>
          </w:tcPr>
          <w:p w:rsidR="006B06B8" w:rsidRPr="00B506D2" w:rsidRDefault="006B06B8" w:rsidP="004D4111">
            <w:r w:rsidRPr="00B506D2">
              <w:rPr>
                <w:rFonts w:hint="eastAsia"/>
              </w:rPr>
              <w:t>改定</w:t>
            </w:r>
          </w:p>
        </w:tc>
      </w:tr>
      <w:tr w:rsidR="006B06B8" w:rsidRPr="00B506D2" w:rsidTr="00674B69">
        <w:tc>
          <w:tcPr>
            <w:tcW w:w="1188" w:type="dxa"/>
            <w:vMerge/>
          </w:tcPr>
          <w:p w:rsidR="006B06B8" w:rsidRPr="00B506D2" w:rsidRDefault="006B06B8" w:rsidP="004D4111"/>
        </w:tc>
        <w:tc>
          <w:tcPr>
            <w:tcW w:w="1080" w:type="dxa"/>
            <w:vMerge/>
          </w:tcPr>
          <w:p w:rsidR="006B06B8" w:rsidRPr="00B506D2" w:rsidRDefault="006B06B8" w:rsidP="004D4111"/>
        </w:tc>
        <w:tc>
          <w:tcPr>
            <w:tcW w:w="1710" w:type="dxa"/>
          </w:tcPr>
          <w:p w:rsidR="006B06B8" w:rsidRPr="00B506D2" w:rsidRDefault="006B06B8" w:rsidP="004D4111">
            <w:r w:rsidRPr="00B506D2">
              <w:t>SM.1131</w:t>
            </w:r>
          </w:p>
        </w:tc>
        <w:tc>
          <w:tcPr>
            <w:tcW w:w="4590" w:type="dxa"/>
          </w:tcPr>
          <w:p w:rsidR="006B06B8" w:rsidRPr="00AA5595" w:rsidRDefault="006B06B8" w:rsidP="004D4111">
            <w:r w:rsidRPr="00AA5595">
              <w:t>Factors to consider in allocating spectrum on a worldwide basis</w:t>
            </w:r>
          </w:p>
        </w:tc>
        <w:tc>
          <w:tcPr>
            <w:tcW w:w="1080" w:type="dxa"/>
          </w:tcPr>
          <w:p w:rsidR="006B06B8" w:rsidRPr="00B506D2" w:rsidRDefault="006B06B8" w:rsidP="004D4111">
            <w:r w:rsidRPr="00B506D2">
              <w:rPr>
                <w:rFonts w:hint="eastAsia"/>
              </w:rPr>
              <w:t>改定</w:t>
            </w:r>
          </w:p>
        </w:tc>
      </w:tr>
    </w:tbl>
    <w:p w:rsidR="006B06B8" w:rsidRPr="00B506D2" w:rsidRDefault="006B06B8" w:rsidP="00B506D2">
      <w:bookmarkStart w:id="5" w:name="_Toc190876113"/>
    </w:p>
    <w:p w:rsidR="002614C8" w:rsidRPr="00B506D2" w:rsidRDefault="004D4111" w:rsidP="00EA578E">
      <w:pPr>
        <w:pStyle w:val="105pt16pt"/>
      </w:pPr>
      <w:r>
        <w:br w:type="page"/>
      </w:r>
      <w:r w:rsidR="00D65C9B" w:rsidRPr="00B506D2">
        <w:rPr>
          <w:rFonts w:hint="eastAsia"/>
        </w:rPr>
        <w:t>研究</w:t>
      </w:r>
      <w:bookmarkEnd w:id="5"/>
      <w:r w:rsidR="00BB5D9D" w:rsidRPr="00B506D2">
        <w:rPr>
          <w:rFonts w:hint="eastAsia"/>
        </w:rPr>
        <w:t>報告</w:t>
      </w:r>
    </w:p>
    <w:p w:rsidR="00982D9E" w:rsidRPr="00B506D2" w:rsidRDefault="00EA578E" w:rsidP="006B3D8A">
      <w:pPr>
        <w:pStyle w:val="Style205pt11pt"/>
        <w:ind w:firstLine="281"/>
      </w:pPr>
      <w:bookmarkStart w:id="6" w:name="_Toc190876114"/>
      <w:r>
        <w:rPr>
          <w:rFonts w:hint="eastAsia"/>
        </w:rPr>
        <w:t>3.1</w:t>
      </w:r>
      <w:r>
        <w:rPr>
          <w:rFonts w:hint="eastAsia"/>
        </w:rPr>
        <w:t xml:space="preserve">　</w:t>
      </w:r>
      <w:r w:rsidRPr="00B506D2">
        <w:rPr>
          <w:rFonts w:hint="eastAsia"/>
        </w:rPr>
        <w:t>WP1A</w:t>
      </w:r>
      <w:r w:rsidRPr="00B506D2">
        <w:rPr>
          <w:rFonts w:hint="eastAsia"/>
        </w:rPr>
        <w:t>からの研究報告案</w:t>
      </w:r>
      <w:bookmarkEnd w:id="6"/>
    </w:p>
    <w:p w:rsidR="00BC0E69" w:rsidRPr="008F5FC0" w:rsidRDefault="00625115" w:rsidP="00D55CA4">
      <w:pPr>
        <w:pStyle w:val="a5"/>
      </w:pPr>
      <w:r w:rsidRPr="00B506D2">
        <w:t>入力文書</w:t>
      </w:r>
      <w:r w:rsidRPr="008F5FC0">
        <w:t xml:space="preserve">  </w:t>
      </w:r>
      <w:r w:rsidR="00865BA1" w:rsidRPr="008F5FC0">
        <w:rPr>
          <w:rFonts w:hint="eastAsia"/>
        </w:rPr>
        <w:t>Doc.</w:t>
      </w:r>
      <w:r w:rsidR="00144028" w:rsidRPr="008F5FC0">
        <w:rPr>
          <w:rFonts w:hint="eastAsia"/>
        </w:rPr>
        <w:t>1/</w:t>
      </w:r>
      <w:r w:rsidR="00BC6F9A" w:rsidRPr="008F5FC0">
        <w:rPr>
          <w:rFonts w:hint="eastAsia"/>
        </w:rPr>
        <w:t>153, 1/166, 1/171</w:t>
      </w:r>
    </w:p>
    <w:p w:rsidR="00012A8D" w:rsidRPr="00E95B31" w:rsidRDefault="00BC6F9A" w:rsidP="00E95B31">
      <w:r w:rsidRPr="00E95B31">
        <w:rPr>
          <w:rFonts w:hint="eastAsia"/>
        </w:rPr>
        <w:t>議題</w:t>
      </w:r>
      <w:r w:rsidRPr="00AA5595">
        <w:rPr>
          <w:rFonts w:hint="eastAsia"/>
        </w:rPr>
        <w:t>1.22</w:t>
      </w:r>
      <w:r w:rsidRPr="00E95B31">
        <w:rPr>
          <w:rFonts w:hint="eastAsia"/>
        </w:rPr>
        <w:t>に関する新報告書案</w:t>
      </w:r>
      <w:r w:rsidRPr="00AA5595">
        <w:rPr>
          <w:rFonts w:hint="eastAsia"/>
        </w:rPr>
        <w:t>（</w:t>
      </w:r>
      <w:r w:rsidRPr="00AA5595">
        <w:rPr>
          <w:rFonts w:hint="eastAsia"/>
        </w:rPr>
        <w:t>1/153</w:t>
      </w:r>
      <w:r w:rsidRPr="00AA5595">
        <w:rPr>
          <w:rFonts w:hint="eastAsia"/>
        </w:rPr>
        <w:t>）</w:t>
      </w:r>
      <w:r w:rsidRPr="00E95B31">
        <w:rPr>
          <w:rFonts w:hint="eastAsia"/>
        </w:rPr>
        <w:t>の中に</w:t>
      </w:r>
      <w:r w:rsidRPr="00AA5595">
        <w:rPr>
          <w:rFonts w:hint="eastAsia"/>
        </w:rPr>
        <w:t>ITU-R</w:t>
      </w:r>
      <w:r w:rsidRPr="00E95B31">
        <w:rPr>
          <w:rFonts w:hint="eastAsia"/>
        </w:rPr>
        <w:t xml:space="preserve">勧告　</w:t>
      </w:r>
      <w:r w:rsidRPr="00AA5595">
        <w:rPr>
          <w:rFonts w:hint="eastAsia"/>
        </w:rPr>
        <w:t>BT.1786</w:t>
      </w:r>
      <w:r w:rsidRPr="00AA5595">
        <w:rPr>
          <w:rFonts w:hint="eastAsia"/>
        </w:rPr>
        <w:t>（</w:t>
      </w:r>
      <w:r w:rsidRPr="00AA5595">
        <w:t>Criterion to assess the impact of interference to the terrestrial broadcasting service (BS)</w:t>
      </w:r>
      <w:r w:rsidRPr="00AA5595">
        <w:rPr>
          <w:rFonts w:hint="eastAsia"/>
        </w:rPr>
        <w:t>）</w:t>
      </w:r>
      <w:r w:rsidRPr="00E95B31">
        <w:rPr>
          <w:rFonts w:hint="eastAsia"/>
        </w:rPr>
        <w:t>が参照されているが、最近、</w:t>
      </w:r>
      <w:r w:rsidRPr="00AA5595">
        <w:rPr>
          <w:rFonts w:hint="eastAsia"/>
        </w:rPr>
        <w:t>BT.1895</w:t>
      </w:r>
      <w:r w:rsidRPr="00E95B31">
        <w:rPr>
          <w:rFonts w:hint="eastAsia"/>
        </w:rPr>
        <w:t>が承認され、この</w:t>
      </w:r>
      <w:r w:rsidRPr="00AA5595">
        <w:rPr>
          <w:rFonts w:hint="eastAsia"/>
        </w:rPr>
        <w:t>BT.1786</w:t>
      </w:r>
      <w:r w:rsidRPr="00E95B31">
        <w:rPr>
          <w:rFonts w:hint="eastAsia"/>
        </w:rPr>
        <w:t>を置き換えることにされたため、文書内で参照されている勧告名を</w:t>
      </w:r>
      <w:r w:rsidRPr="00AA5595">
        <w:rPr>
          <w:rFonts w:hint="eastAsia"/>
        </w:rPr>
        <w:t>BT.1895</w:t>
      </w:r>
      <w:r w:rsidR="008F5FC0" w:rsidRPr="00E95B31">
        <w:rPr>
          <w:rFonts w:hint="eastAsia"/>
        </w:rPr>
        <w:t>に</w:t>
      </w:r>
      <w:r w:rsidRPr="00E95B31">
        <w:rPr>
          <w:rFonts w:hint="eastAsia"/>
        </w:rPr>
        <w:t>更新することで合意された。また、本文書には当初、表題が記載されていなかったが、イランが</w:t>
      </w:r>
      <w:r w:rsidRPr="00E95B31">
        <w:rPr>
          <w:rFonts w:hint="eastAsia"/>
        </w:rPr>
        <w:t>WRC</w:t>
      </w:r>
      <w:r w:rsidRPr="00E95B31">
        <w:rPr>
          <w:rFonts w:hint="eastAsia"/>
        </w:rPr>
        <w:t>への言及をせず「</w:t>
      </w:r>
      <w:r w:rsidRPr="00E95B31">
        <w:rPr>
          <w:rFonts w:hint="eastAsia"/>
        </w:rPr>
        <w:t>SRD</w:t>
      </w:r>
      <w:r w:rsidRPr="00E95B31">
        <w:rPr>
          <w:rFonts w:hint="eastAsia"/>
        </w:rPr>
        <w:t>」と簡素化することを提案した</w:t>
      </w:r>
      <w:r w:rsidR="008F5FC0" w:rsidRPr="00E95B31">
        <w:rPr>
          <w:rFonts w:hint="eastAsia"/>
        </w:rPr>
        <w:t>。これに対し</w:t>
      </w:r>
      <w:r w:rsidRPr="00E95B31">
        <w:rPr>
          <w:rFonts w:hint="eastAsia"/>
        </w:rPr>
        <w:t>、</w:t>
      </w:r>
      <w:r w:rsidRPr="00E95B31">
        <w:rPr>
          <w:rFonts w:hint="eastAsia"/>
        </w:rPr>
        <w:t>BR</w:t>
      </w:r>
      <w:r w:rsidRPr="00E95B31">
        <w:rPr>
          <w:rFonts w:hint="eastAsia"/>
        </w:rPr>
        <w:t>が議題</w:t>
      </w:r>
      <w:r w:rsidRPr="00E95B31">
        <w:rPr>
          <w:rFonts w:hint="eastAsia"/>
        </w:rPr>
        <w:t>1.22</w:t>
      </w:r>
      <w:r w:rsidR="008F5FC0" w:rsidRPr="00E95B31">
        <w:rPr>
          <w:rFonts w:hint="eastAsia"/>
        </w:rPr>
        <w:t>と揃えるべきと助言したことから、これを一部修正して</w:t>
      </w:r>
      <w:r w:rsidRPr="00E95B31">
        <w:rPr>
          <w:rFonts w:hint="eastAsia"/>
        </w:rPr>
        <w:t>「</w:t>
      </w:r>
      <w:r w:rsidRPr="00E95B31">
        <w:t>Impact of emission of SRD on radiocommunication services</w:t>
      </w:r>
      <w:r w:rsidRPr="00E95B31">
        <w:rPr>
          <w:rFonts w:hint="eastAsia"/>
        </w:rPr>
        <w:t>」とすることで合意された。また、文内に、「本報告書は</w:t>
      </w:r>
      <w:r w:rsidRPr="00E95B31">
        <w:rPr>
          <w:rFonts w:hint="eastAsia"/>
        </w:rPr>
        <w:t>CPM</w:t>
      </w:r>
      <w:r w:rsidRPr="00E95B31">
        <w:rPr>
          <w:rFonts w:hint="eastAsia"/>
        </w:rPr>
        <w:t>報告書を補完する目的で作成された」との記載があったが、ロシア、イランの提案により削除された。</w:t>
      </w:r>
    </w:p>
    <w:p w:rsidR="00AD51BF" w:rsidRPr="00E95B31" w:rsidRDefault="00BC6F9A" w:rsidP="00E95B31">
      <w:r w:rsidRPr="00E95B31">
        <w:rPr>
          <w:rFonts w:hint="eastAsia"/>
        </w:rPr>
        <w:t>1/166</w:t>
      </w:r>
      <w:r w:rsidR="008F5FC0" w:rsidRPr="00E95B31">
        <w:rPr>
          <w:rFonts w:hint="eastAsia"/>
        </w:rPr>
        <w:t>（</w:t>
      </w:r>
      <w:r w:rsidR="008F5FC0" w:rsidRPr="00E95B31">
        <w:rPr>
          <w:rFonts w:hint="eastAsia"/>
        </w:rPr>
        <w:t>80MHz</w:t>
      </w:r>
      <w:r w:rsidR="008F5FC0" w:rsidRPr="00E95B31">
        <w:rPr>
          <w:rFonts w:hint="eastAsia"/>
        </w:rPr>
        <w:t>以下の</w:t>
      </w:r>
      <w:r w:rsidR="008F5FC0" w:rsidRPr="00E95B31">
        <w:rPr>
          <w:rFonts w:hint="eastAsia"/>
        </w:rPr>
        <w:t>LF/MF/HF/VHF</w:t>
      </w:r>
      <w:r w:rsidR="008F5FC0" w:rsidRPr="00E95B31">
        <w:rPr>
          <w:rFonts w:hint="eastAsia"/>
        </w:rPr>
        <w:t>周波数帯における無線通信システムへの</w:t>
      </w:r>
      <w:r w:rsidR="008F5FC0" w:rsidRPr="00E95B31">
        <w:rPr>
          <w:rFonts w:hint="eastAsia"/>
        </w:rPr>
        <w:t>PLT</w:t>
      </w:r>
      <w:r w:rsidR="008F5FC0" w:rsidRPr="00E95B31">
        <w:rPr>
          <w:rFonts w:hint="eastAsia"/>
        </w:rPr>
        <w:t>システムの影響</w:t>
      </w:r>
      <w:r w:rsidR="00012A8D" w:rsidRPr="00E95B31">
        <w:rPr>
          <w:rFonts w:hint="eastAsia"/>
        </w:rPr>
        <w:t>についての改定案</w:t>
      </w:r>
      <w:r w:rsidR="008F5FC0" w:rsidRPr="00E95B31">
        <w:rPr>
          <w:rFonts w:hint="eastAsia"/>
        </w:rPr>
        <w:t>）</w:t>
      </w:r>
      <w:r w:rsidR="00012A8D" w:rsidRPr="00E95B31">
        <w:rPr>
          <w:rFonts w:hint="eastAsia"/>
        </w:rPr>
        <w:t>と</w:t>
      </w:r>
      <w:r w:rsidRPr="00E95B31">
        <w:rPr>
          <w:rFonts w:hint="eastAsia"/>
        </w:rPr>
        <w:t>1/171</w:t>
      </w:r>
      <w:r w:rsidR="008F5FC0" w:rsidRPr="00E95B31">
        <w:rPr>
          <w:rFonts w:hint="eastAsia"/>
        </w:rPr>
        <w:t>（</w:t>
      </w:r>
      <w:r w:rsidR="006B01F9" w:rsidRPr="00E95B31">
        <w:rPr>
          <w:rFonts w:hint="eastAsia"/>
        </w:rPr>
        <w:t>80MHz</w:t>
      </w:r>
      <w:r w:rsidR="006B01F9" w:rsidRPr="00E95B31">
        <w:rPr>
          <w:rFonts w:hint="eastAsia"/>
        </w:rPr>
        <w:t>以上の</w:t>
      </w:r>
      <w:r w:rsidR="006B01F9" w:rsidRPr="00E95B31">
        <w:rPr>
          <w:rFonts w:hint="eastAsia"/>
        </w:rPr>
        <w:t>VHF</w:t>
      </w:r>
      <w:r w:rsidR="006B01F9" w:rsidRPr="00E95B31">
        <w:rPr>
          <w:rFonts w:hint="eastAsia"/>
        </w:rPr>
        <w:t>、</w:t>
      </w:r>
      <w:r w:rsidR="006B01F9" w:rsidRPr="00E95B31">
        <w:rPr>
          <w:rFonts w:hint="eastAsia"/>
        </w:rPr>
        <w:t>UHF</w:t>
      </w:r>
      <w:r w:rsidR="006B01F9" w:rsidRPr="00E95B31">
        <w:rPr>
          <w:rFonts w:hint="eastAsia"/>
        </w:rPr>
        <w:t>周波数帯における無線通信システムへの</w:t>
      </w:r>
      <w:r w:rsidR="006B01F9" w:rsidRPr="00E95B31">
        <w:rPr>
          <w:rFonts w:hint="eastAsia"/>
        </w:rPr>
        <w:t>PLT</w:t>
      </w:r>
      <w:r w:rsidR="006B01F9" w:rsidRPr="00E95B31">
        <w:rPr>
          <w:rFonts w:hint="eastAsia"/>
        </w:rPr>
        <w:t>システムの影響</w:t>
      </w:r>
      <w:r w:rsidR="00012A8D" w:rsidRPr="00E95B31">
        <w:rPr>
          <w:rFonts w:hint="eastAsia"/>
        </w:rPr>
        <w:t>についての新報告書案</w:t>
      </w:r>
      <w:r w:rsidR="008F5FC0" w:rsidRPr="00E95B31">
        <w:rPr>
          <w:rFonts w:hint="eastAsia"/>
        </w:rPr>
        <w:t>）</w:t>
      </w:r>
      <w:r w:rsidRPr="00E95B31">
        <w:rPr>
          <w:rFonts w:hint="eastAsia"/>
        </w:rPr>
        <w:t>は</w:t>
      </w:r>
      <w:r w:rsidR="006E763E" w:rsidRPr="00E95B31">
        <w:rPr>
          <w:rFonts w:hint="eastAsia"/>
        </w:rPr>
        <w:t>特段の議論なく承認された。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710"/>
        <w:gridCol w:w="4590"/>
        <w:gridCol w:w="1080"/>
      </w:tblGrid>
      <w:tr w:rsidR="005F513E" w:rsidRPr="00B506D2" w:rsidTr="00C05F00">
        <w:tc>
          <w:tcPr>
            <w:tcW w:w="1188" w:type="dxa"/>
          </w:tcPr>
          <w:p w:rsidR="005F513E" w:rsidRPr="00B506D2" w:rsidRDefault="005F513E" w:rsidP="004D4111">
            <w:r w:rsidRPr="00B506D2">
              <w:rPr>
                <w:rFonts w:hint="eastAsia"/>
              </w:rPr>
              <w:t>文書番号</w:t>
            </w:r>
          </w:p>
        </w:tc>
        <w:tc>
          <w:tcPr>
            <w:tcW w:w="1080" w:type="dxa"/>
          </w:tcPr>
          <w:p w:rsidR="005F513E" w:rsidRPr="00B506D2" w:rsidRDefault="005F513E" w:rsidP="004D4111">
            <w:r w:rsidRPr="00B506D2">
              <w:rPr>
                <w:rFonts w:hint="eastAsia"/>
              </w:rPr>
              <w:t>提出元</w:t>
            </w:r>
          </w:p>
        </w:tc>
        <w:tc>
          <w:tcPr>
            <w:tcW w:w="1710" w:type="dxa"/>
          </w:tcPr>
          <w:p w:rsidR="005F513E" w:rsidRPr="00B506D2" w:rsidRDefault="004C0A65" w:rsidP="004D4111">
            <w:r w:rsidRPr="00B506D2">
              <w:rPr>
                <w:rFonts w:hint="eastAsia"/>
              </w:rPr>
              <w:t>研究報告</w:t>
            </w:r>
            <w:r w:rsidR="005F513E" w:rsidRPr="00B506D2">
              <w:rPr>
                <w:rFonts w:hint="eastAsia"/>
              </w:rPr>
              <w:t>名</w:t>
            </w:r>
          </w:p>
        </w:tc>
        <w:tc>
          <w:tcPr>
            <w:tcW w:w="4590" w:type="dxa"/>
          </w:tcPr>
          <w:p w:rsidR="005F513E" w:rsidRPr="00B506D2" w:rsidRDefault="005F513E" w:rsidP="004D4111">
            <w:r w:rsidRPr="00B506D2">
              <w:rPr>
                <w:rFonts w:hint="eastAsia"/>
              </w:rPr>
              <w:t>表題</w:t>
            </w:r>
          </w:p>
        </w:tc>
        <w:tc>
          <w:tcPr>
            <w:tcW w:w="1080" w:type="dxa"/>
          </w:tcPr>
          <w:p w:rsidR="005F513E" w:rsidRPr="00B506D2" w:rsidRDefault="005F513E" w:rsidP="004D4111">
            <w:r w:rsidRPr="00B506D2">
              <w:rPr>
                <w:rFonts w:hint="eastAsia"/>
              </w:rPr>
              <w:t>種別</w:t>
            </w:r>
          </w:p>
        </w:tc>
      </w:tr>
      <w:tr w:rsidR="005F513E" w:rsidRPr="00B506D2" w:rsidTr="00C05F00">
        <w:tc>
          <w:tcPr>
            <w:tcW w:w="1188" w:type="dxa"/>
          </w:tcPr>
          <w:p w:rsidR="005F513E" w:rsidRPr="00B506D2" w:rsidRDefault="005F513E" w:rsidP="004D4111">
            <w:r w:rsidRPr="00B506D2">
              <w:rPr>
                <w:rFonts w:hint="eastAsia"/>
              </w:rPr>
              <w:t>1/</w:t>
            </w:r>
            <w:r w:rsidR="00BC6F9A" w:rsidRPr="00B506D2">
              <w:rPr>
                <w:rFonts w:hint="eastAsia"/>
              </w:rPr>
              <w:t>153</w:t>
            </w:r>
            <w:r w:rsidRPr="00B506D2">
              <w:rPr>
                <w:rFonts w:hint="eastAsia"/>
              </w:rPr>
              <w:t xml:space="preserve">  </w:t>
            </w:r>
          </w:p>
        </w:tc>
        <w:tc>
          <w:tcPr>
            <w:tcW w:w="1080" w:type="dxa"/>
          </w:tcPr>
          <w:p w:rsidR="005F513E" w:rsidRPr="00B506D2" w:rsidRDefault="005F513E" w:rsidP="004D4111">
            <w:r w:rsidRPr="00B506D2">
              <w:rPr>
                <w:rFonts w:hint="eastAsia"/>
              </w:rPr>
              <w:t>WP1A</w:t>
            </w:r>
          </w:p>
        </w:tc>
        <w:tc>
          <w:tcPr>
            <w:tcW w:w="1710" w:type="dxa"/>
          </w:tcPr>
          <w:p w:rsidR="005F513E" w:rsidRPr="00B506D2" w:rsidRDefault="00BC6F9A" w:rsidP="004D4111">
            <w:r w:rsidRPr="00B506D2">
              <w:t>SM.[WRC-12-1.22]</w:t>
            </w:r>
          </w:p>
        </w:tc>
        <w:tc>
          <w:tcPr>
            <w:tcW w:w="4590" w:type="dxa"/>
          </w:tcPr>
          <w:p w:rsidR="005F513E" w:rsidRPr="00AA5595" w:rsidRDefault="00BC6F9A" w:rsidP="004D4111">
            <w:r w:rsidRPr="00AA5595">
              <w:rPr>
                <w:rFonts w:hint="eastAsia"/>
              </w:rPr>
              <w:t>Impact of emission of SRD on radiocommunication services</w:t>
            </w:r>
          </w:p>
        </w:tc>
        <w:tc>
          <w:tcPr>
            <w:tcW w:w="1080" w:type="dxa"/>
          </w:tcPr>
          <w:p w:rsidR="005F513E" w:rsidRPr="00B506D2" w:rsidRDefault="00BC6F9A" w:rsidP="004D4111">
            <w:r w:rsidRPr="00B506D2">
              <w:rPr>
                <w:rFonts w:hint="eastAsia"/>
              </w:rPr>
              <w:t>新報告</w:t>
            </w:r>
          </w:p>
        </w:tc>
      </w:tr>
      <w:tr w:rsidR="008A6300" w:rsidRPr="00B506D2" w:rsidTr="00C05F00">
        <w:tc>
          <w:tcPr>
            <w:tcW w:w="1188" w:type="dxa"/>
          </w:tcPr>
          <w:p w:rsidR="008A6300" w:rsidRPr="00B506D2" w:rsidRDefault="008A6300" w:rsidP="004D4111">
            <w:r w:rsidRPr="00B506D2">
              <w:rPr>
                <w:rFonts w:hint="eastAsia"/>
              </w:rPr>
              <w:t>1/</w:t>
            </w:r>
            <w:r w:rsidR="00BC6F9A" w:rsidRPr="00B506D2">
              <w:rPr>
                <w:rFonts w:hint="eastAsia"/>
              </w:rPr>
              <w:t>166</w:t>
            </w:r>
          </w:p>
        </w:tc>
        <w:tc>
          <w:tcPr>
            <w:tcW w:w="1080" w:type="dxa"/>
          </w:tcPr>
          <w:p w:rsidR="008A6300" w:rsidRPr="00B506D2" w:rsidRDefault="008A6300" w:rsidP="004D4111">
            <w:r w:rsidRPr="00B506D2">
              <w:rPr>
                <w:rFonts w:hint="eastAsia"/>
              </w:rPr>
              <w:t>WP1A</w:t>
            </w:r>
          </w:p>
        </w:tc>
        <w:tc>
          <w:tcPr>
            <w:tcW w:w="1710" w:type="dxa"/>
          </w:tcPr>
          <w:p w:rsidR="008A6300" w:rsidRPr="00B506D2" w:rsidRDefault="00BC6F9A" w:rsidP="004D4111">
            <w:r w:rsidRPr="00B506D2">
              <w:t>SM.2158-1</w:t>
            </w:r>
          </w:p>
        </w:tc>
        <w:tc>
          <w:tcPr>
            <w:tcW w:w="4590" w:type="dxa"/>
          </w:tcPr>
          <w:p w:rsidR="008A6300" w:rsidRPr="00AA5595" w:rsidRDefault="008A6300" w:rsidP="004D4111">
            <w:r w:rsidRPr="00AA5595">
              <w:t xml:space="preserve">Impact of power line telecommunication systems on </w:t>
            </w:r>
            <w:r w:rsidRPr="00AA5595">
              <w:rPr>
                <w:rFonts w:hint="eastAsia"/>
              </w:rPr>
              <w:t>R</w:t>
            </w:r>
            <w:r w:rsidRPr="00AA5595">
              <w:t>adiocommunication systems operating in the LF, MF, HF and VHF bands below 80 MHz</w:t>
            </w:r>
          </w:p>
        </w:tc>
        <w:tc>
          <w:tcPr>
            <w:tcW w:w="1080" w:type="dxa"/>
          </w:tcPr>
          <w:p w:rsidR="008A6300" w:rsidRPr="00B506D2" w:rsidRDefault="008A6300" w:rsidP="004D4111">
            <w:r w:rsidRPr="00B506D2">
              <w:rPr>
                <w:rFonts w:hint="eastAsia"/>
              </w:rPr>
              <w:t>改定</w:t>
            </w:r>
          </w:p>
        </w:tc>
      </w:tr>
      <w:tr w:rsidR="008A6300" w:rsidRPr="00B506D2" w:rsidTr="00C05F00">
        <w:tc>
          <w:tcPr>
            <w:tcW w:w="1188" w:type="dxa"/>
          </w:tcPr>
          <w:p w:rsidR="008A6300" w:rsidRPr="00B506D2" w:rsidRDefault="008A6300" w:rsidP="004D4111">
            <w:r w:rsidRPr="00B506D2">
              <w:rPr>
                <w:rFonts w:hint="eastAsia"/>
              </w:rPr>
              <w:t>1/1</w:t>
            </w:r>
            <w:r w:rsidR="00BC6F9A" w:rsidRPr="00B506D2">
              <w:rPr>
                <w:rFonts w:hint="eastAsia"/>
              </w:rPr>
              <w:t>71</w:t>
            </w:r>
          </w:p>
        </w:tc>
        <w:tc>
          <w:tcPr>
            <w:tcW w:w="1080" w:type="dxa"/>
          </w:tcPr>
          <w:p w:rsidR="008A6300" w:rsidRPr="00B506D2" w:rsidRDefault="008A6300" w:rsidP="004D4111">
            <w:r w:rsidRPr="00B506D2">
              <w:rPr>
                <w:rFonts w:hint="eastAsia"/>
              </w:rPr>
              <w:t>WP1A</w:t>
            </w:r>
          </w:p>
        </w:tc>
        <w:tc>
          <w:tcPr>
            <w:tcW w:w="1710" w:type="dxa"/>
          </w:tcPr>
          <w:p w:rsidR="008A6300" w:rsidRPr="00B506D2" w:rsidRDefault="00BC6F9A" w:rsidP="004D4111">
            <w:r w:rsidRPr="00B506D2">
              <w:t>SM.[PLT+80 MHZ]</w:t>
            </w:r>
          </w:p>
        </w:tc>
        <w:tc>
          <w:tcPr>
            <w:tcW w:w="4590" w:type="dxa"/>
          </w:tcPr>
          <w:p w:rsidR="008A6300" w:rsidRPr="00AA5595" w:rsidRDefault="00BC6F9A" w:rsidP="004D4111">
            <w:r w:rsidRPr="00AA5595">
              <w:t>Impact of power line telecommunication systems on radiocommunication systems operating in the VHF and UHF bands above 80 MHz</w:t>
            </w:r>
          </w:p>
        </w:tc>
        <w:tc>
          <w:tcPr>
            <w:tcW w:w="1080" w:type="dxa"/>
          </w:tcPr>
          <w:p w:rsidR="008A6300" w:rsidRPr="00B506D2" w:rsidRDefault="008A6300" w:rsidP="004D4111">
            <w:r w:rsidRPr="00B506D2">
              <w:rPr>
                <w:rFonts w:hint="eastAsia"/>
              </w:rPr>
              <w:t>新報告</w:t>
            </w:r>
          </w:p>
        </w:tc>
      </w:tr>
    </w:tbl>
    <w:p w:rsidR="00D55CA4" w:rsidRPr="00D55CA4" w:rsidRDefault="00D55CA4" w:rsidP="00D55CA4">
      <w:bookmarkStart w:id="7" w:name="_Toc190876115"/>
    </w:p>
    <w:p w:rsidR="00BD42A7" w:rsidRPr="00B506D2" w:rsidRDefault="00EA578E" w:rsidP="006B3D8A">
      <w:pPr>
        <w:pStyle w:val="Style205pt11pt"/>
        <w:ind w:firstLine="281"/>
      </w:pPr>
      <w:r>
        <w:rPr>
          <w:rFonts w:hint="eastAsia"/>
        </w:rPr>
        <w:t>3.2</w:t>
      </w:r>
      <w:r>
        <w:rPr>
          <w:rFonts w:hint="eastAsia"/>
        </w:rPr>
        <w:t xml:space="preserve">　</w:t>
      </w:r>
      <w:r w:rsidR="00BD42A7" w:rsidRPr="00B506D2">
        <w:rPr>
          <w:rFonts w:hint="eastAsia"/>
        </w:rPr>
        <w:t>WP1B</w:t>
      </w:r>
      <w:r w:rsidR="00554474" w:rsidRPr="00B506D2">
        <w:rPr>
          <w:rFonts w:hint="eastAsia"/>
        </w:rPr>
        <w:t>からの</w:t>
      </w:r>
      <w:r w:rsidR="00BD42A7" w:rsidRPr="00B506D2">
        <w:rPr>
          <w:rFonts w:hint="eastAsia"/>
        </w:rPr>
        <w:t>研究報告案</w:t>
      </w:r>
    </w:p>
    <w:p w:rsidR="00BD42A7" w:rsidRPr="00B506D2" w:rsidRDefault="00BD42A7" w:rsidP="00E53943">
      <w:pPr>
        <w:pStyle w:val="a5"/>
      </w:pPr>
      <w:r w:rsidRPr="00B506D2">
        <w:t>入力文書</w:t>
      </w:r>
      <w:r w:rsidRPr="00B506D2">
        <w:t xml:space="preserve">  </w:t>
      </w:r>
      <w:r w:rsidR="00865BA1" w:rsidRPr="00B506D2">
        <w:rPr>
          <w:rFonts w:hint="eastAsia"/>
        </w:rPr>
        <w:t>Doc.</w:t>
      </w:r>
      <w:r w:rsidRPr="00B506D2">
        <w:rPr>
          <w:rFonts w:hint="eastAsia"/>
        </w:rPr>
        <w:t>1/</w:t>
      </w:r>
      <w:r w:rsidR="00060CC0" w:rsidRPr="00B506D2">
        <w:rPr>
          <w:rFonts w:hint="eastAsia"/>
        </w:rPr>
        <w:t>1</w:t>
      </w:r>
      <w:r w:rsidR="00554474" w:rsidRPr="00B506D2">
        <w:rPr>
          <w:rFonts w:hint="eastAsia"/>
        </w:rPr>
        <w:t>49</w:t>
      </w:r>
    </w:p>
    <w:p w:rsidR="000072DC" w:rsidRPr="00E95B31" w:rsidRDefault="000072DC" w:rsidP="00E95B31">
      <w:r w:rsidRPr="00E95B31">
        <w:rPr>
          <w:rFonts w:hint="eastAsia"/>
        </w:rPr>
        <w:t>SM. 2153</w:t>
      </w:r>
      <w:r w:rsidR="00554474" w:rsidRPr="00E95B31">
        <w:rPr>
          <w:rFonts w:hint="eastAsia"/>
        </w:rPr>
        <w:t>-1</w:t>
      </w:r>
      <w:r w:rsidR="00B44155" w:rsidRPr="00E95B31">
        <w:rPr>
          <w:rFonts w:hint="eastAsia"/>
        </w:rPr>
        <w:t>（</w:t>
      </w:r>
      <w:r w:rsidR="00B44155" w:rsidRPr="00E95B31">
        <w:rPr>
          <w:rFonts w:hint="eastAsia"/>
        </w:rPr>
        <w:t>SRD</w:t>
      </w:r>
      <w:r w:rsidR="00B44155" w:rsidRPr="00E95B31">
        <w:rPr>
          <w:rFonts w:hint="eastAsia"/>
        </w:rPr>
        <w:t>のの技術的・運用パラメータと周波数利用）</w:t>
      </w:r>
      <w:r w:rsidRPr="00E95B31">
        <w:rPr>
          <w:rFonts w:hint="eastAsia"/>
        </w:rPr>
        <w:t>の改定を求める</w:t>
      </w:r>
      <w:r w:rsidR="00554474" w:rsidRPr="00E95B31">
        <w:rPr>
          <w:rFonts w:hint="eastAsia"/>
        </w:rPr>
        <w:t>1/149</w:t>
      </w:r>
      <w:r w:rsidR="00554474" w:rsidRPr="00E95B31">
        <w:rPr>
          <w:rFonts w:hint="eastAsia"/>
        </w:rPr>
        <w:t>は特段の議論なく承認された。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1530"/>
        <w:gridCol w:w="4590"/>
        <w:gridCol w:w="1080"/>
      </w:tblGrid>
      <w:tr w:rsidR="000072DC" w:rsidRPr="00B506D2" w:rsidTr="00961F16">
        <w:tc>
          <w:tcPr>
            <w:tcW w:w="1188" w:type="dxa"/>
          </w:tcPr>
          <w:p w:rsidR="000072DC" w:rsidRPr="00B506D2" w:rsidRDefault="000072DC" w:rsidP="004D4111">
            <w:r w:rsidRPr="00B506D2">
              <w:rPr>
                <w:rFonts w:hint="eastAsia"/>
              </w:rPr>
              <w:t>文書番号</w:t>
            </w:r>
          </w:p>
        </w:tc>
        <w:tc>
          <w:tcPr>
            <w:tcW w:w="1260" w:type="dxa"/>
          </w:tcPr>
          <w:p w:rsidR="000072DC" w:rsidRPr="00B506D2" w:rsidRDefault="000072DC" w:rsidP="004D4111">
            <w:r w:rsidRPr="00B506D2">
              <w:rPr>
                <w:rFonts w:hint="eastAsia"/>
              </w:rPr>
              <w:t>提出元</w:t>
            </w:r>
          </w:p>
        </w:tc>
        <w:tc>
          <w:tcPr>
            <w:tcW w:w="1530" w:type="dxa"/>
          </w:tcPr>
          <w:p w:rsidR="000072DC" w:rsidRPr="00B506D2" w:rsidRDefault="000072DC" w:rsidP="004D4111">
            <w:r w:rsidRPr="00B506D2">
              <w:rPr>
                <w:rFonts w:hint="eastAsia"/>
              </w:rPr>
              <w:t>研究報告名</w:t>
            </w:r>
          </w:p>
        </w:tc>
        <w:tc>
          <w:tcPr>
            <w:tcW w:w="4590" w:type="dxa"/>
          </w:tcPr>
          <w:p w:rsidR="000072DC" w:rsidRPr="00B506D2" w:rsidRDefault="000072DC" w:rsidP="004D4111">
            <w:r w:rsidRPr="00B506D2">
              <w:rPr>
                <w:rFonts w:hint="eastAsia"/>
              </w:rPr>
              <w:t>表題</w:t>
            </w:r>
          </w:p>
        </w:tc>
        <w:tc>
          <w:tcPr>
            <w:tcW w:w="1080" w:type="dxa"/>
          </w:tcPr>
          <w:p w:rsidR="000072DC" w:rsidRPr="00B506D2" w:rsidRDefault="000072DC" w:rsidP="004D4111">
            <w:r w:rsidRPr="00B506D2">
              <w:rPr>
                <w:rFonts w:hint="eastAsia"/>
              </w:rPr>
              <w:t>種別</w:t>
            </w:r>
          </w:p>
        </w:tc>
      </w:tr>
      <w:tr w:rsidR="000072DC" w:rsidRPr="00B506D2" w:rsidTr="00961F16">
        <w:tc>
          <w:tcPr>
            <w:tcW w:w="1188" w:type="dxa"/>
          </w:tcPr>
          <w:p w:rsidR="000072DC" w:rsidRPr="00B506D2" w:rsidRDefault="000072DC" w:rsidP="004D4111">
            <w:r w:rsidRPr="00B506D2">
              <w:rPr>
                <w:rFonts w:hint="eastAsia"/>
              </w:rPr>
              <w:t>1/</w:t>
            </w:r>
            <w:r w:rsidR="00554474" w:rsidRPr="00B506D2">
              <w:rPr>
                <w:rFonts w:hint="eastAsia"/>
              </w:rPr>
              <w:t>149</w:t>
            </w:r>
            <w:r w:rsidRPr="00B506D2">
              <w:rPr>
                <w:rFonts w:hint="eastAsia"/>
              </w:rPr>
              <w:t xml:space="preserve"> </w:t>
            </w:r>
          </w:p>
        </w:tc>
        <w:tc>
          <w:tcPr>
            <w:tcW w:w="1260" w:type="dxa"/>
          </w:tcPr>
          <w:p w:rsidR="000072DC" w:rsidRPr="00B506D2" w:rsidRDefault="000072DC" w:rsidP="004D4111">
            <w:r w:rsidRPr="00B506D2">
              <w:rPr>
                <w:rFonts w:hint="eastAsia"/>
              </w:rPr>
              <w:t>WP1B</w:t>
            </w:r>
          </w:p>
        </w:tc>
        <w:tc>
          <w:tcPr>
            <w:tcW w:w="1530" w:type="dxa"/>
          </w:tcPr>
          <w:p w:rsidR="000072DC" w:rsidRPr="00B506D2" w:rsidRDefault="000072DC" w:rsidP="004D4111">
            <w:r w:rsidRPr="00B506D2">
              <w:t>SM.2153</w:t>
            </w:r>
            <w:r w:rsidR="00554474" w:rsidRPr="00B506D2">
              <w:rPr>
                <w:rFonts w:hint="eastAsia"/>
              </w:rPr>
              <w:t>-1</w:t>
            </w:r>
          </w:p>
        </w:tc>
        <w:tc>
          <w:tcPr>
            <w:tcW w:w="4590" w:type="dxa"/>
          </w:tcPr>
          <w:p w:rsidR="000072DC" w:rsidRPr="00AA5595" w:rsidRDefault="000072DC" w:rsidP="004D4111">
            <w:r w:rsidRPr="00AA5595">
              <w:t>Technical and operating parameters and spectrum use for short-range radiocommunication devices</w:t>
            </w:r>
          </w:p>
        </w:tc>
        <w:tc>
          <w:tcPr>
            <w:tcW w:w="1080" w:type="dxa"/>
          </w:tcPr>
          <w:p w:rsidR="000072DC" w:rsidRPr="00B506D2" w:rsidRDefault="000072DC" w:rsidP="004D4111">
            <w:r w:rsidRPr="00B506D2">
              <w:rPr>
                <w:rFonts w:hint="eastAsia"/>
              </w:rPr>
              <w:t>改定</w:t>
            </w:r>
          </w:p>
        </w:tc>
      </w:tr>
    </w:tbl>
    <w:p w:rsidR="00B44155" w:rsidRDefault="00B44155" w:rsidP="006B3D8A">
      <w:pPr>
        <w:pStyle w:val="Style205pt11pt"/>
        <w:ind w:firstLine="281"/>
      </w:pPr>
    </w:p>
    <w:p w:rsidR="00BD42A7" w:rsidRPr="00D55CA4" w:rsidRDefault="00EA578E" w:rsidP="006B3D8A">
      <w:pPr>
        <w:pStyle w:val="Style205pt11pt"/>
        <w:ind w:firstLine="281"/>
      </w:pPr>
      <w:r>
        <w:rPr>
          <w:rFonts w:hint="eastAsia"/>
        </w:rPr>
        <w:t>3.3</w:t>
      </w:r>
      <w:r>
        <w:rPr>
          <w:rFonts w:hint="eastAsia"/>
        </w:rPr>
        <w:t xml:space="preserve">　</w:t>
      </w:r>
      <w:r w:rsidR="00BD42A7" w:rsidRPr="00D55CA4">
        <w:rPr>
          <w:rFonts w:hint="eastAsia"/>
        </w:rPr>
        <w:t>WP1C</w:t>
      </w:r>
      <w:r w:rsidR="00E16210">
        <w:rPr>
          <w:rFonts w:hint="eastAsia"/>
        </w:rPr>
        <w:t>からの</w:t>
      </w:r>
      <w:r w:rsidR="00BD42A7" w:rsidRPr="00D55CA4">
        <w:rPr>
          <w:rFonts w:hint="eastAsia"/>
        </w:rPr>
        <w:t>研究報告案</w:t>
      </w:r>
    </w:p>
    <w:p w:rsidR="00BD42A7" w:rsidRPr="00B506D2" w:rsidRDefault="00BD42A7" w:rsidP="00EA578E">
      <w:pPr>
        <w:pStyle w:val="a5"/>
      </w:pPr>
      <w:r w:rsidRPr="00B506D2">
        <w:t>入力文書</w:t>
      </w:r>
      <w:r w:rsidRPr="00B506D2">
        <w:t xml:space="preserve">  </w:t>
      </w:r>
      <w:r w:rsidRPr="00B506D2">
        <w:rPr>
          <w:rFonts w:hint="eastAsia"/>
        </w:rPr>
        <w:t>Doc.1/</w:t>
      </w:r>
      <w:r w:rsidR="00554474" w:rsidRPr="00B506D2">
        <w:rPr>
          <w:rFonts w:hint="eastAsia"/>
        </w:rPr>
        <w:t>159</w:t>
      </w:r>
      <w:r w:rsidR="00C05F00" w:rsidRPr="00B506D2">
        <w:rPr>
          <w:rFonts w:hint="eastAsia"/>
        </w:rPr>
        <w:t>, 1/1</w:t>
      </w:r>
      <w:r w:rsidR="00554474" w:rsidRPr="00B506D2">
        <w:rPr>
          <w:rFonts w:hint="eastAsia"/>
        </w:rPr>
        <w:t>62</w:t>
      </w:r>
    </w:p>
    <w:p w:rsidR="00C05F00" w:rsidRPr="00E95B31" w:rsidRDefault="00554474" w:rsidP="00E95B31">
      <w:r w:rsidRPr="00E95B31">
        <w:rPr>
          <w:rFonts w:hint="eastAsia"/>
        </w:rPr>
        <w:t>H/V/UHF</w:t>
      </w:r>
      <w:r w:rsidRPr="00E95B31">
        <w:rPr>
          <w:rFonts w:hint="eastAsia"/>
        </w:rPr>
        <w:t>監視受信機及び監視局における測定パラメータと測定手順（</w:t>
      </w:r>
      <w:r w:rsidRPr="00E95B31">
        <w:rPr>
          <w:rFonts w:hint="eastAsia"/>
        </w:rPr>
        <w:t>SM.2125</w:t>
      </w:r>
      <w:r w:rsidRPr="00E95B31">
        <w:rPr>
          <w:rFonts w:hint="eastAsia"/>
        </w:rPr>
        <w:t>）に関する改定提案である</w:t>
      </w:r>
      <w:r w:rsidRPr="00E95B31">
        <w:rPr>
          <w:rFonts w:hint="eastAsia"/>
        </w:rPr>
        <w:t>1/159</w:t>
      </w:r>
      <w:r w:rsidRPr="00E95B31">
        <w:rPr>
          <w:rFonts w:hint="eastAsia"/>
        </w:rPr>
        <w:t>と、信号の発射源位置特定における到達時間差法（</w:t>
      </w:r>
      <w:r w:rsidRPr="00E95B31">
        <w:rPr>
          <w:rFonts w:hint="eastAsia"/>
        </w:rPr>
        <w:t>TDOA</w:t>
      </w:r>
      <w:r w:rsidRPr="00E95B31">
        <w:rPr>
          <w:rFonts w:hint="eastAsia"/>
        </w:rPr>
        <w:t>）と到来角法（</w:t>
      </w:r>
      <w:r w:rsidRPr="00E95B31">
        <w:rPr>
          <w:rFonts w:hint="eastAsia"/>
        </w:rPr>
        <w:t>AOA</w:t>
      </w:r>
      <w:r w:rsidRPr="00E95B31">
        <w:rPr>
          <w:rFonts w:hint="eastAsia"/>
        </w:rPr>
        <w:t>）の比較に関する新報告案である</w:t>
      </w:r>
      <w:r w:rsidRPr="00E95B31">
        <w:rPr>
          <w:rFonts w:hint="eastAsia"/>
        </w:rPr>
        <w:t>1/162</w:t>
      </w:r>
      <w:r w:rsidRPr="00E95B31">
        <w:rPr>
          <w:rFonts w:hint="eastAsia"/>
        </w:rPr>
        <w:t>の</w:t>
      </w:r>
      <w:r w:rsidRPr="00E95B31">
        <w:rPr>
          <w:rFonts w:hint="eastAsia"/>
        </w:rPr>
        <w:t>2</w:t>
      </w:r>
      <w:r w:rsidRPr="00E95B31">
        <w:rPr>
          <w:rFonts w:hint="eastAsia"/>
        </w:rPr>
        <w:t>件はいずれも特段の議論なく承認された。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2070"/>
        <w:gridCol w:w="4230"/>
        <w:gridCol w:w="1080"/>
      </w:tblGrid>
      <w:tr w:rsidR="002A4167" w:rsidRPr="00B506D2" w:rsidTr="00D27999">
        <w:tc>
          <w:tcPr>
            <w:tcW w:w="1188" w:type="dxa"/>
          </w:tcPr>
          <w:p w:rsidR="002A4167" w:rsidRPr="00B506D2" w:rsidRDefault="002A4167" w:rsidP="004D4111">
            <w:r w:rsidRPr="00B506D2">
              <w:rPr>
                <w:rFonts w:hint="eastAsia"/>
              </w:rPr>
              <w:t>文書番号</w:t>
            </w:r>
          </w:p>
        </w:tc>
        <w:tc>
          <w:tcPr>
            <w:tcW w:w="1080" w:type="dxa"/>
          </w:tcPr>
          <w:p w:rsidR="002A4167" w:rsidRPr="00B506D2" w:rsidRDefault="002A4167" w:rsidP="004D4111">
            <w:r w:rsidRPr="00B506D2">
              <w:rPr>
                <w:rFonts w:hint="eastAsia"/>
              </w:rPr>
              <w:t>提出元</w:t>
            </w:r>
          </w:p>
        </w:tc>
        <w:tc>
          <w:tcPr>
            <w:tcW w:w="2070" w:type="dxa"/>
          </w:tcPr>
          <w:p w:rsidR="002A4167" w:rsidRPr="00B506D2" w:rsidRDefault="002A4167" w:rsidP="004D4111">
            <w:r w:rsidRPr="00B506D2">
              <w:rPr>
                <w:rFonts w:hint="eastAsia"/>
              </w:rPr>
              <w:t>研究報告名</w:t>
            </w:r>
          </w:p>
        </w:tc>
        <w:tc>
          <w:tcPr>
            <w:tcW w:w="4230" w:type="dxa"/>
          </w:tcPr>
          <w:p w:rsidR="002A4167" w:rsidRPr="00B506D2" w:rsidRDefault="002A4167" w:rsidP="004D4111">
            <w:r w:rsidRPr="00B506D2">
              <w:rPr>
                <w:rFonts w:hint="eastAsia"/>
              </w:rPr>
              <w:t>表題</w:t>
            </w:r>
          </w:p>
        </w:tc>
        <w:tc>
          <w:tcPr>
            <w:tcW w:w="1080" w:type="dxa"/>
          </w:tcPr>
          <w:p w:rsidR="002A4167" w:rsidRPr="00B506D2" w:rsidRDefault="002A4167" w:rsidP="004D4111">
            <w:r w:rsidRPr="00B506D2">
              <w:rPr>
                <w:rFonts w:hint="eastAsia"/>
              </w:rPr>
              <w:t>種別</w:t>
            </w:r>
          </w:p>
        </w:tc>
      </w:tr>
      <w:tr w:rsidR="002A4167" w:rsidRPr="00B506D2" w:rsidTr="00D27999">
        <w:tc>
          <w:tcPr>
            <w:tcW w:w="1188" w:type="dxa"/>
          </w:tcPr>
          <w:p w:rsidR="00554474" w:rsidRPr="00B506D2" w:rsidRDefault="002A4167" w:rsidP="004D4111">
            <w:r w:rsidRPr="00B506D2">
              <w:rPr>
                <w:rFonts w:hint="eastAsia"/>
              </w:rPr>
              <w:t>1/1</w:t>
            </w:r>
            <w:r w:rsidR="00554474" w:rsidRPr="00B506D2">
              <w:rPr>
                <w:rFonts w:hint="eastAsia"/>
              </w:rPr>
              <w:t>59</w:t>
            </w:r>
          </w:p>
        </w:tc>
        <w:tc>
          <w:tcPr>
            <w:tcW w:w="1080" w:type="dxa"/>
          </w:tcPr>
          <w:p w:rsidR="002A4167" w:rsidRPr="00B506D2" w:rsidRDefault="002A4167" w:rsidP="004D4111">
            <w:r w:rsidRPr="00B506D2">
              <w:rPr>
                <w:rFonts w:hint="eastAsia"/>
              </w:rPr>
              <w:t>WP1</w:t>
            </w:r>
            <w:r w:rsidR="00C05F00" w:rsidRPr="00B506D2">
              <w:rPr>
                <w:rFonts w:hint="eastAsia"/>
              </w:rPr>
              <w:t>C</w:t>
            </w:r>
          </w:p>
        </w:tc>
        <w:tc>
          <w:tcPr>
            <w:tcW w:w="2070" w:type="dxa"/>
          </w:tcPr>
          <w:p w:rsidR="002A4167" w:rsidRPr="00B506D2" w:rsidRDefault="00554474" w:rsidP="004D4111">
            <w:r w:rsidRPr="00B506D2">
              <w:t>SM 2125</w:t>
            </w:r>
          </w:p>
        </w:tc>
        <w:tc>
          <w:tcPr>
            <w:tcW w:w="4230" w:type="dxa"/>
          </w:tcPr>
          <w:p w:rsidR="002A4167" w:rsidRPr="00AA5595" w:rsidRDefault="00554474" w:rsidP="004D4111">
            <w:r w:rsidRPr="00AA5595">
              <w:t>Parameters of and measurement procedures on H/V/UHF monitoring receivers and stations</w:t>
            </w:r>
          </w:p>
        </w:tc>
        <w:tc>
          <w:tcPr>
            <w:tcW w:w="1080" w:type="dxa"/>
          </w:tcPr>
          <w:p w:rsidR="002A4167" w:rsidRPr="00B506D2" w:rsidRDefault="00554474" w:rsidP="004D4111">
            <w:r w:rsidRPr="00B506D2">
              <w:rPr>
                <w:rFonts w:hint="eastAsia"/>
              </w:rPr>
              <w:t>改定</w:t>
            </w:r>
          </w:p>
        </w:tc>
      </w:tr>
      <w:tr w:rsidR="002A4167" w:rsidRPr="00B506D2" w:rsidTr="00D27999">
        <w:tc>
          <w:tcPr>
            <w:tcW w:w="1188" w:type="dxa"/>
          </w:tcPr>
          <w:p w:rsidR="002A4167" w:rsidRPr="00B506D2" w:rsidRDefault="002A4167" w:rsidP="004D4111">
            <w:r w:rsidRPr="00B506D2">
              <w:rPr>
                <w:rFonts w:hint="eastAsia"/>
              </w:rPr>
              <w:t>1/1</w:t>
            </w:r>
            <w:r w:rsidR="00554474" w:rsidRPr="00B506D2">
              <w:rPr>
                <w:rFonts w:hint="eastAsia"/>
              </w:rPr>
              <w:t>62</w:t>
            </w:r>
          </w:p>
        </w:tc>
        <w:tc>
          <w:tcPr>
            <w:tcW w:w="1080" w:type="dxa"/>
          </w:tcPr>
          <w:p w:rsidR="002A4167" w:rsidRPr="00B506D2" w:rsidRDefault="002A4167" w:rsidP="004D4111">
            <w:r w:rsidRPr="00B506D2">
              <w:rPr>
                <w:rFonts w:hint="eastAsia"/>
              </w:rPr>
              <w:t>WP1</w:t>
            </w:r>
            <w:r w:rsidR="00C05F00" w:rsidRPr="00B506D2">
              <w:rPr>
                <w:rFonts w:hint="eastAsia"/>
              </w:rPr>
              <w:t>C</w:t>
            </w:r>
          </w:p>
        </w:tc>
        <w:tc>
          <w:tcPr>
            <w:tcW w:w="2070" w:type="dxa"/>
          </w:tcPr>
          <w:p w:rsidR="002A4167" w:rsidRPr="00B506D2" w:rsidRDefault="00554474" w:rsidP="004D4111">
            <w:r w:rsidRPr="00B506D2">
              <w:rPr>
                <w:rFonts w:hint="eastAsia"/>
              </w:rPr>
              <w:t>SM.[TDOA-AOA]</w:t>
            </w:r>
            <w:r w:rsidRPr="00B506D2">
              <w:rPr>
                <w:rFonts w:hint="eastAsia"/>
              </w:rPr>
              <w:t xml:space="preserve">　</w:t>
            </w:r>
          </w:p>
        </w:tc>
        <w:tc>
          <w:tcPr>
            <w:tcW w:w="4230" w:type="dxa"/>
          </w:tcPr>
          <w:p w:rsidR="002A4167" w:rsidRPr="00AA5595" w:rsidRDefault="00554474" w:rsidP="004D4111">
            <w:r w:rsidRPr="00AA5595">
              <w:t xml:space="preserve">Comparison of Time-Difference-of-Arrival and Angle-of-Arrival Methods of Signal </w:t>
            </w:r>
            <w:proofErr w:type="spellStart"/>
            <w:r w:rsidRPr="00AA5595">
              <w:t>Geolocation</w:t>
            </w:r>
            <w:proofErr w:type="spellEnd"/>
          </w:p>
        </w:tc>
        <w:tc>
          <w:tcPr>
            <w:tcW w:w="1080" w:type="dxa"/>
          </w:tcPr>
          <w:p w:rsidR="002A4167" w:rsidRPr="00B506D2" w:rsidRDefault="00D27999" w:rsidP="004D4111">
            <w:r w:rsidRPr="00B506D2">
              <w:rPr>
                <w:rFonts w:hint="eastAsia"/>
              </w:rPr>
              <w:t>新報告</w:t>
            </w:r>
          </w:p>
        </w:tc>
      </w:tr>
    </w:tbl>
    <w:p w:rsidR="00057CFD" w:rsidRPr="00B506D2" w:rsidRDefault="00057CFD" w:rsidP="00B506D2"/>
    <w:bookmarkEnd w:id="7"/>
    <w:p w:rsidR="00650B62" w:rsidRPr="00B506D2" w:rsidRDefault="003F077C" w:rsidP="00D55CA4">
      <w:pPr>
        <w:pStyle w:val="105pt16pt"/>
      </w:pPr>
      <w:r w:rsidRPr="00B506D2">
        <w:rPr>
          <w:rFonts w:hint="eastAsia"/>
        </w:rPr>
        <w:t>新及び改訂された課題の検討</w:t>
      </w:r>
    </w:p>
    <w:p w:rsidR="003F077C" w:rsidRPr="00B506D2" w:rsidRDefault="00EA578E" w:rsidP="006B3D8A">
      <w:pPr>
        <w:pStyle w:val="Style205pt11pt"/>
        <w:ind w:firstLine="281"/>
      </w:pPr>
      <w:r>
        <w:rPr>
          <w:rFonts w:hint="eastAsia"/>
        </w:rPr>
        <w:t>4.1</w:t>
      </w:r>
      <w:r>
        <w:rPr>
          <w:rFonts w:hint="eastAsia"/>
        </w:rPr>
        <w:t xml:space="preserve">　</w:t>
      </w:r>
      <w:r w:rsidR="003F077C" w:rsidRPr="00B506D2">
        <w:rPr>
          <w:rFonts w:hint="eastAsia"/>
        </w:rPr>
        <w:t>WP1A</w:t>
      </w:r>
      <w:r w:rsidR="003F077C" w:rsidRPr="00B506D2">
        <w:rPr>
          <w:rFonts w:hint="eastAsia"/>
        </w:rPr>
        <w:t>から提出された新及び改訂された課題の検討</w:t>
      </w:r>
    </w:p>
    <w:p w:rsidR="00624F95" w:rsidRPr="00B506D2" w:rsidRDefault="00624F95" w:rsidP="00EA578E">
      <w:pPr>
        <w:pStyle w:val="a5"/>
      </w:pPr>
      <w:r w:rsidRPr="00B506D2">
        <w:t>入力文書</w:t>
      </w:r>
      <w:r w:rsidRPr="00B506D2">
        <w:t xml:space="preserve">  </w:t>
      </w:r>
      <w:r w:rsidR="00865BA1" w:rsidRPr="00B506D2">
        <w:rPr>
          <w:rFonts w:hint="eastAsia"/>
        </w:rPr>
        <w:t>Doc.</w:t>
      </w:r>
      <w:r w:rsidR="00914EBB" w:rsidRPr="00B506D2">
        <w:rPr>
          <w:rFonts w:hint="eastAsia"/>
        </w:rPr>
        <w:t>1/156</w:t>
      </w:r>
    </w:p>
    <w:p w:rsidR="00914EBB" w:rsidRPr="00E95B31" w:rsidRDefault="00914EBB" w:rsidP="00E95B31">
      <w:r w:rsidRPr="00E95B31">
        <w:rPr>
          <w:rFonts w:hint="eastAsia"/>
        </w:rPr>
        <w:t>昨年の</w:t>
      </w:r>
      <w:r w:rsidRPr="00E95B31">
        <w:rPr>
          <w:rFonts w:hint="eastAsia"/>
        </w:rPr>
        <w:t>SG1</w:t>
      </w:r>
      <w:r w:rsidRPr="00E95B31">
        <w:rPr>
          <w:rFonts w:hint="eastAsia"/>
        </w:rPr>
        <w:t>会合でシリアと米国の間で意見が分かれ、議論が持ち越しとされていた</w:t>
      </w:r>
      <w:r w:rsidR="00E16210" w:rsidRPr="00E95B31">
        <w:rPr>
          <w:rFonts w:hint="eastAsia"/>
        </w:rPr>
        <w:t>課題（</w:t>
      </w:r>
      <w:r w:rsidRPr="00E95B31">
        <w:rPr>
          <w:rFonts w:hint="eastAsia"/>
        </w:rPr>
        <w:t>パワーグリッド管理システムのサポートのために利用される無線・有線データ転送技術から無線通信システムが受ける影響に関する</w:t>
      </w:r>
      <w:r w:rsidRPr="00E95B31">
        <w:rPr>
          <w:rFonts w:hint="eastAsia"/>
        </w:rPr>
        <w:t>ITU-R</w:t>
      </w:r>
      <w:r w:rsidR="00E16210" w:rsidRPr="00E95B31">
        <w:rPr>
          <w:rFonts w:hint="eastAsia"/>
        </w:rPr>
        <w:t>の新課題</w:t>
      </w:r>
      <w:r w:rsidRPr="00E95B31">
        <w:rPr>
          <w:rFonts w:hint="eastAsia"/>
        </w:rPr>
        <w:t>案</w:t>
      </w:r>
      <w:r w:rsidRPr="00E95B31">
        <w:rPr>
          <w:rFonts w:hint="eastAsia"/>
        </w:rPr>
        <w:t>[PWRGRD]</w:t>
      </w:r>
      <w:r w:rsidR="00E16210" w:rsidRPr="00E95B31">
        <w:rPr>
          <w:rFonts w:hint="eastAsia"/>
        </w:rPr>
        <w:t>）</w:t>
      </w:r>
      <w:r w:rsidRPr="00E95B31">
        <w:rPr>
          <w:rFonts w:hint="eastAsia"/>
        </w:rPr>
        <w:t>は、</w:t>
      </w:r>
      <w:r w:rsidR="00E140F4" w:rsidRPr="00E95B31">
        <w:rPr>
          <w:rFonts w:hint="eastAsia"/>
        </w:rPr>
        <w:t>「パワーグリッド管理システムのサポートのために利用され</w:t>
      </w:r>
      <w:r w:rsidR="000058A5">
        <w:rPr>
          <w:rFonts w:hint="eastAsia"/>
        </w:rPr>
        <w:t>る無線技術や機器の技術面、運用面での機能、特徴、メリットは何か</w:t>
      </w:r>
      <w:r w:rsidR="00E140F4" w:rsidRPr="00E95B31">
        <w:rPr>
          <w:rFonts w:hint="eastAsia"/>
        </w:rPr>
        <w:t>」との記載から「メリット」という用語を削除するよう</w:t>
      </w:r>
      <w:r w:rsidR="00E140F4" w:rsidRPr="00E95B31">
        <w:rPr>
          <w:rFonts w:hint="eastAsia"/>
        </w:rPr>
        <w:t>NABA</w:t>
      </w:r>
      <w:r w:rsidR="00E140F4" w:rsidRPr="00E95B31">
        <w:rPr>
          <w:rFonts w:hint="eastAsia"/>
        </w:rPr>
        <w:t>が提案し、修正が加えられた以外は特段の議論なく承認された。</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90"/>
        <w:gridCol w:w="1440"/>
        <w:gridCol w:w="4770"/>
        <w:gridCol w:w="1170"/>
      </w:tblGrid>
      <w:tr w:rsidR="00624F95" w:rsidRPr="00B506D2" w:rsidTr="004573FC">
        <w:tc>
          <w:tcPr>
            <w:tcW w:w="1170" w:type="dxa"/>
          </w:tcPr>
          <w:p w:rsidR="00624F95" w:rsidRPr="00B506D2" w:rsidRDefault="00624F95" w:rsidP="000058A5">
            <w:r w:rsidRPr="00B506D2">
              <w:rPr>
                <w:rFonts w:hint="eastAsia"/>
              </w:rPr>
              <w:t>文書番号</w:t>
            </w:r>
          </w:p>
        </w:tc>
        <w:tc>
          <w:tcPr>
            <w:tcW w:w="990" w:type="dxa"/>
          </w:tcPr>
          <w:p w:rsidR="00624F95" w:rsidRPr="00B506D2" w:rsidRDefault="00624F95" w:rsidP="000058A5">
            <w:r w:rsidRPr="00B506D2">
              <w:rPr>
                <w:rFonts w:hint="eastAsia"/>
              </w:rPr>
              <w:t>提出元</w:t>
            </w:r>
          </w:p>
        </w:tc>
        <w:tc>
          <w:tcPr>
            <w:tcW w:w="1440" w:type="dxa"/>
          </w:tcPr>
          <w:p w:rsidR="00624F95" w:rsidRPr="00B506D2" w:rsidRDefault="00624F95" w:rsidP="000058A5">
            <w:r w:rsidRPr="00B506D2">
              <w:rPr>
                <w:rFonts w:hint="eastAsia"/>
              </w:rPr>
              <w:t>課題番号</w:t>
            </w:r>
          </w:p>
        </w:tc>
        <w:tc>
          <w:tcPr>
            <w:tcW w:w="4770" w:type="dxa"/>
          </w:tcPr>
          <w:p w:rsidR="00624F95" w:rsidRPr="00B506D2" w:rsidRDefault="00624F95" w:rsidP="000058A5">
            <w:r w:rsidRPr="00B506D2">
              <w:rPr>
                <w:rFonts w:hint="eastAsia"/>
              </w:rPr>
              <w:t>表題</w:t>
            </w:r>
          </w:p>
        </w:tc>
        <w:tc>
          <w:tcPr>
            <w:tcW w:w="1170" w:type="dxa"/>
          </w:tcPr>
          <w:p w:rsidR="00624F95" w:rsidRPr="00B506D2" w:rsidRDefault="00624F95" w:rsidP="000058A5">
            <w:r w:rsidRPr="00B506D2">
              <w:rPr>
                <w:rFonts w:hint="eastAsia"/>
              </w:rPr>
              <w:t>種別</w:t>
            </w:r>
          </w:p>
        </w:tc>
      </w:tr>
      <w:tr w:rsidR="00624F95" w:rsidRPr="00B506D2" w:rsidTr="004573FC">
        <w:tc>
          <w:tcPr>
            <w:tcW w:w="1170" w:type="dxa"/>
          </w:tcPr>
          <w:p w:rsidR="00624F95" w:rsidRPr="00B506D2" w:rsidRDefault="00624F95" w:rsidP="000058A5">
            <w:r w:rsidRPr="00B506D2">
              <w:rPr>
                <w:rFonts w:hint="eastAsia"/>
              </w:rPr>
              <w:t>1/</w:t>
            </w:r>
            <w:r w:rsidR="00914EBB" w:rsidRPr="00B506D2">
              <w:rPr>
                <w:rFonts w:hint="eastAsia"/>
              </w:rPr>
              <w:t>156</w:t>
            </w:r>
          </w:p>
        </w:tc>
        <w:tc>
          <w:tcPr>
            <w:tcW w:w="990" w:type="dxa"/>
          </w:tcPr>
          <w:p w:rsidR="00624F95" w:rsidRPr="00B506D2" w:rsidRDefault="00624F95" w:rsidP="000058A5">
            <w:r w:rsidRPr="00B506D2">
              <w:rPr>
                <w:rFonts w:hint="eastAsia"/>
              </w:rPr>
              <w:t>WP1A</w:t>
            </w:r>
          </w:p>
        </w:tc>
        <w:tc>
          <w:tcPr>
            <w:tcW w:w="1440" w:type="dxa"/>
          </w:tcPr>
          <w:p w:rsidR="00624F95" w:rsidRPr="00B506D2" w:rsidRDefault="00914EBB" w:rsidP="000058A5">
            <w:r w:rsidRPr="00B506D2">
              <w:t>[PWRGRD</w:t>
            </w:r>
            <w:r w:rsidRPr="00B506D2">
              <w:rPr>
                <w:rFonts w:hint="eastAsia"/>
              </w:rPr>
              <w:t>]</w:t>
            </w:r>
          </w:p>
        </w:tc>
        <w:tc>
          <w:tcPr>
            <w:tcW w:w="4770" w:type="dxa"/>
          </w:tcPr>
          <w:p w:rsidR="00624F95" w:rsidRPr="00AA5595" w:rsidRDefault="00914EBB" w:rsidP="000058A5">
            <w:r w:rsidRPr="00AA5595">
              <w:t>Impact on radiocommunication systems from wireless and wired data transmission technologies used for the support of power grid management</w:t>
            </w:r>
            <w:r w:rsidRPr="00AA5595">
              <w:rPr>
                <w:rFonts w:hint="eastAsia"/>
              </w:rPr>
              <w:t xml:space="preserve"> systems</w:t>
            </w:r>
          </w:p>
        </w:tc>
        <w:tc>
          <w:tcPr>
            <w:tcW w:w="1170" w:type="dxa"/>
          </w:tcPr>
          <w:p w:rsidR="00624F95" w:rsidRPr="00B506D2" w:rsidRDefault="00914EBB" w:rsidP="000058A5">
            <w:r w:rsidRPr="00B506D2">
              <w:rPr>
                <w:rFonts w:hint="eastAsia"/>
              </w:rPr>
              <w:t>新課題</w:t>
            </w:r>
          </w:p>
        </w:tc>
      </w:tr>
    </w:tbl>
    <w:p w:rsidR="004573FC" w:rsidRPr="00E95B31" w:rsidRDefault="004573FC" w:rsidP="00E95B31"/>
    <w:p w:rsidR="003F077C" w:rsidRPr="00E95B31" w:rsidRDefault="00727D6D" w:rsidP="00E95B31">
      <w:r w:rsidRPr="00E95B31">
        <w:rPr>
          <w:rFonts w:hint="eastAsia"/>
        </w:rPr>
        <w:t>なお、</w:t>
      </w:r>
      <w:r w:rsidR="003F077C" w:rsidRPr="00E95B31">
        <w:rPr>
          <w:rFonts w:hint="eastAsia"/>
        </w:rPr>
        <w:t>WP1B</w:t>
      </w:r>
      <w:r w:rsidR="003F077C" w:rsidRPr="00E95B31">
        <w:rPr>
          <w:rFonts w:hint="eastAsia"/>
        </w:rPr>
        <w:t>から</w:t>
      </w:r>
      <w:r w:rsidRPr="00E95B31">
        <w:rPr>
          <w:rFonts w:hint="eastAsia"/>
        </w:rPr>
        <w:t>は</w:t>
      </w:r>
      <w:r w:rsidR="003F077C" w:rsidRPr="00E95B31">
        <w:rPr>
          <w:rFonts w:hint="eastAsia"/>
        </w:rPr>
        <w:t>新及び改訂された課題の検討</w:t>
      </w:r>
      <w:r w:rsidRPr="00E95B31">
        <w:rPr>
          <w:rFonts w:hint="eastAsia"/>
        </w:rPr>
        <w:t>は提出されなかった。</w:t>
      </w:r>
    </w:p>
    <w:p w:rsidR="003F077C" w:rsidRPr="00B506D2" w:rsidRDefault="003F077C" w:rsidP="006B3D8A">
      <w:pPr>
        <w:pStyle w:val="Style205pt11pt"/>
        <w:ind w:firstLine="281"/>
      </w:pPr>
      <w:r w:rsidRPr="00B506D2">
        <w:rPr>
          <w:rFonts w:hint="eastAsia"/>
        </w:rPr>
        <w:t>4.2  WP1C</w:t>
      </w:r>
      <w:r w:rsidRPr="00B506D2">
        <w:rPr>
          <w:rFonts w:hint="eastAsia"/>
        </w:rPr>
        <w:t>から提出された新しい及び改訂された課題の検討</w:t>
      </w:r>
    </w:p>
    <w:p w:rsidR="00446BBD" w:rsidRPr="00B506D2" w:rsidRDefault="00446BBD" w:rsidP="00F52CF5">
      <w:pPr>
        <w:pStyle w:val="a5"/>
      </w:pPr>
      <w:r w:rsidRPr="00B506D2">
        <w:t>入力文書</w:t>
      </w:r>
      <w:r w:rsidRPr="00B506D2">
        <w:t xml:space="preserve">  </w:t>
      </w:r>
      <w:r w:rsidR="004F1ED4" w:rsidRPr="00B506D2">
        <w:rPr>
          <w:rFonts w:hint="eastAsia"/>
        </w:rPr>
        <w:t>Doc.</w:t>
      </w:r>
      <w:r w:rsidR="00E140F4" w:rsidRPr="00B506D2">
        <w:rPr>
          <w:rFonts w:hint="eastAsia"/>
        </w:rPr>
        <w:t>1/164</w:t>
      </w:r>
    </w:p>
    <w:p w:rsidR="009974BD" w:rsidRPr="00E95B31" w:rsidRDefault="00E140F4" w:rsidP="00E95B31">
      <w:r w:rsidRPr="00E95B31">
        <w:rPr>
          <w:rFonts w:hint="eastAsia"/>
        </w:rPr>
        <w:t>スペクトラム占有率の測定に関する課題</w:t>
      </w:r>
      <w:r w:rsidRPr="00E95B31">
        <w:rPr>
          <w:rFonts w:hint="eastAsia"/>
        </w:rPr>
        <w:t>233/1</w:t>
      </w:r>
      <w:r w:rsidRPr="00E95B31">
        <w:rPr>
          <w:rFonts w:hint="eastAsia"/>
        </w:rPr>
        <w:t>については、</w:t>
      </w:r>
      <w:r w:rsidRPr="00E95B31">
        <w:rPr>
          <w:rFonts w:hint="eastAsia"/>
        </w:rPr>
        <w:t>CG</w:t>
      </w:r>
      <w:r w:rsidRPr="00E95B31">
        <w:rPr>
          <w:rFonts w:hint="eastAsia"/>
        </w:rPr>
        <w:t>を作ってさらに検討を継続することにしたため、</w:t>
      </w:r>
      <w:r w:rsidRPr="00E95B31">
        <w:rPr>
          <w:rFonts w:hint="eastAsia"/>
        </w:rPr>
        <w:t>2015</w:t>
      </w:r>
      <w:r w:rsidRPr="00E95B31">
        <w:rPr>
          <w:rFonts w:hint="eastAsia"/>
        </w:rPr>
        <w:t>年まで課題</w:t>
      </w:r>
      <w:r w:rsidR="00266196" w:rsidRPr="00E95B31">
        <w:rPr>
          <w:rFonts w:hint="eastAsia"/>
        </w:rPr>
        <w:t>が</w:t>
      </w:r>
      <w:r w:rsidRPr="00E95B31">
        <w:rPr>
          <w:rFonts w:hint="eastAsia"/>
        </w:rPr>
        <w:t>延長</w:t>
      </w:r>
      <w:r w:rsidR="00266196" w:rsidRPr="00E95B31">
        <w:rPr>
          <w:rFonts w:hint="eastAsia"/>
        </w:rPr>
        <w:t>されることになった（以下</w:t>
      </w:r>
      <w:r w:rsidR="00266196" w:rsidRPr="00E95B31">
        <w:rPr>
          <w:rFonts w:hint="eastAsia"/>
        </w:rPr>
        <w:t>6.2</w:t>
      </w:r>
      <w:r w:rsidR="00266196" w:rsidRPr="00E95B31">
        <w:rPr>
          <w:rFonts w:hint="eastAsia"/>
        </w:rPr>
        <w:t>参照）。これを受けて、本課題の</w:t>
      </w:r>
      <w:r w:rsidR="00266196" w:rsidRPr="00E95B31">
        <w:rPr>
          <w:rFonts w:hint="eastAsia"/>
        </w:rPr>
        <w:t>ANNEX</w:t>
      </w:r>
      <w:r w:rsidR="00266196" w:rsidRPr="00E95B31">
        <w:rPr>
          <w:rFonts w:hint="eastAsia"/>
        </w:rPr>
        <w:t>の一部を修正する</w:t>
      </w:r>
      <w:r w:rsidR="00266196" w:rsidRPr="00E95B31">
        <w:rPr>
          <w:rFonts w:hint="eastAsia"/>
        </w:rPr>
        <w:t>1/164</w:t>
      </w:r>
      <w:r w:rsidR="00266196" w:rsidRPr="00E95B31">
        <w:rPr>
          <w:rFonts w:hint="eastAsia"/>
        </w:rPr>
        <w:t>は特段の議論なく採択され</w:t>
      </w:r>
      <w:r w:rsidR="001D4DC6" w:rsidRPr="00E95B31">
        <w:rPr>
          <w:rFonts w:hint="eastAsia"/>
        </w:rPr>
        <w:t>、</w:t>
      </w:r>
      <w:r w:rsidR="001D4DC6" w:rsidRPr="00E95B31">
        <w:rPr>
          <w:rFonts w:hint="eastAsia"/>
        </w:rPr>
        <w:t>PSAA</w:t>
      </w:r>
      <w:r w:rsidR="001D4DC6" w:rsidRPr="00E95B31">
        <w:rPr>
          <w:rFonts w:hint="eastAsia"/>
        </w:rPr>
        <w:t>による承認に回されることになった。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890"/>
        <w:gridCol w:w="4410"/>
        <w:gridCol w:w="1080"/>
      </w:tblGrid>
      <w:tr w:rsidR="00446BBD" w:rsidRPr="00B506D2" w:rsidTr="00E140F4">
        <w:tc>
          <w:tcPr>
            <w:tcW w:w="1188" w:type="dxa"/>
          </w:tcPr>
          <w:p w:rsidR="00446BBD" w:rsidRPr="00B506D2" w:rsidRDefault="00446BBD" w:rsidP="000058A5">
            <w:r w:rsidRPr="00B506D2">
              <w:rPr>
                <w:rFonts w:hint="eastAsia"/>
              </w:rPr>
              <w:t>文書番号</w:t>
            </w:r>
          </w:p>
        </w:tc>
        <w:tc>
          <w:tcPr>
            <w:tcW w:w="1080" w:type="dxa"/>
          </w:tcPr>
          <w:p w:rsidR="00446BBD" w:rsidRPr="00B506D2" w:rsidRDefault="00446BBD" w:rsidP="000058A5">
            <w:r w:rsidRPr="00B506D2">
              <w:rPr>
                <w:rFonts w:hint="eastAsia"/>
              </w:rPr>
              <w:t>提出元</w:t>
            </w:r>
          </w:p>
        </w:tc>
        <w:tc>
          <w:tcPr>
            <w:tcW w:w="1890" w:type="dxa"/>
          </w:tcPr>
          <w:p w:rsidR="00446BBD" w:rsidRPr="00B506D2" w:rsidRDefault="00446BBD" w:rsidP="000058A5">
            <w:r w:rsidRPr="00B506D2">
              <w:rPr>
                <w:rFonts w:hint="eastAsia"/>
              </w:rPr>
              <w:t>課題番号</w:t>
            </w:r>
          </w:p>
        </w:tc>
        <w:tc>
          <w:tcPr>
            <w:tcW w:w="4410" w:type="dxa"/>
          </w:tcPr>
          <w:p w:rsidR="00446BBD" w:rsidRPr="00B506D2" w:rsidRDefault="00446BBD" w:rsidP="000058A5">
            <w:r w:rsidRPr="00B506D2">
              <w:rPr>
                <w:rFonts w:hint="eastAsia"/>
              </w:rPr>
              <w:t>表題</w:t>
            </w:r>
          </w:p>
        </w:tc>
        <w:tc>
          <w:tcPr>
            <w:tcW w:w="1080" w:type="dxa"/>
          </w:tcPr>
          <w:p w:rsidR="00446BBD" w:rsidRPr="00B506D2" w:rsidRDefault="00446BBD" w:rsidP="000058A5">
            <w:r w:rsidRPr="00B506D2">
              <w:rPr>
                <w:rFonts w:hint="eastAsia"/>
              </w:rPr>
              <w:t>種別</w:t>
            </w:r>
          </w:p>
        </w:tc>
      </w:tr>
      <w:tr w:rsidR="00446BBD" w:rsidRPr="00B506D2" w:rsidTr="00E140F4">
        <w:tc>
          <w:tcPr>
            <w:tcW w:w="1188" w:type="dxa"/>
          </w:tcPr>
          <w:p w:rsidR="00446BBD" w:rsidRPr="00B506D2" w:rsidRDefault="00446BBD" w:rsidP="000058A5">
            <w:r w:rsidRPr="00B506D2">
              <w:rPr>
                <w:rFonts w:hint="eastAsia"/>
              </w:rPr>
              <w:t>1/1</w:t>
            </w:r>
            <w:r w:rsidR="00E140F4" w:rsidRPr="00B506D2">
              <w:rPr>
                <w:rFonts w:hint="eastAsia"/>
              </w:rPr>
              <w:t>64</w:t>
            </w:r>
          </w:p>
        </w:tc>
        <w:tc>
          <w:tcPr>
            <w:tcW w:w="1080" w:type="dxa"/>
          </w:tcPr>
          <w:p w:rsidR="00446BBD" w:rsidRPr="00B506D2" w:rsidRDefault="00446BBD" w:rsidP="000058A5">
            <w:r w:rsidRPr="00B506D2">
              <w:rPr>
                <w:rFonts w:hint="eastAsia"/>
              </w:rPr>
              <w:t>WP1C</w:t>
            </w:r>
          </w:p>
        </w:tc>
        <w:tc>
          <w:tcPr>
            <w:tcW w:w="1890" w:type="dxa"/>
          </w:tcPr>
          <w:p w:rsidR="00446BBD" w:rsidRPr="00B506D2" w:rsidRDefault="00E140F4" w:rsidP="000058A5">
            <w:r w:rsidRPr="00B506D2">
              <w:rPr>
                <w:rFonts w:hint="eastAsia"/>
              </w:rPr>
              <w:t>R 233/1</w:t>
            </w:r>
            <w:r w:rsidRPr="00B506D2">
              <w:rPr>
                <w:rFonts w:hint="eastAsia"/>
              </w:rPr>
              <w:t xml:space="preserve">　</w:t>
            </w:r>
          </w:p>
        </w:tc>
        <w:tc>
          <w:tcPr>
            <w:tcW w:w="4410" w:type="dxa"/>
          </w:tcPr>
          <w:p w:rsidR="00446BBD" w:rsidRPr="00B506D2" w:rsidRDefault="00E140F4" w:rsidP="000058A5">
            <w:r w:rsidRPr="00B506D2">
              <w:t>Measurement of spectrum occupancy</w:t>
            </w:r>
          </w:p>
        </w:tc>
        <w:tc>
          <w:tcPr>
            <w:tcW w:w="1080" w:type="dxa"/>
          </w:tcPr>
          <w:p w:rsidR="00446BBD" w:rsidRPr="00B506D2" w:rsidRDefault="00E140F4" w:rsidP="000058A5">
            <w:r w:rsidRPr="00B506D2">
              <w:rPr>
                <w:rFonts w:hint="eastAsia"/>
              </w:rPr>
              <w:t>改定</w:t>
            </w:r>
          </w:p>
        </w:tc>
      </w:tr>
    </w:tbl>
    <w:p w:rsidR="00EF56A1" w:rsidRPr="00B506D2" w:rsidRDefault="00EF56A1" w:rsidP="00B506D2"/>
    <w:p w:rsidR="003F077C" w:rsidRPr="00B506D2" w:rsidRDefault="000058A5" w:rsidP="00F52CF5">
      <w:pPr>
        <w:pStyle w:val="105pt16pt"/>
      </w:pPr>
      <w:r>
        <w:br w:type="page"/>
      </w:r>
      <w:r w:rsidR="003F077C" w:rsidRPr="00B506D2">
        <w:rPr>
          <w:rFonts w:hint="eastAsia"/>
        </w:rPr>
        <w:t>勧告、研究報告、研究課題の削除</w:t>
      </w:r>
    </w:p>
    <w:p w:rsidR="003F077C" w:rsidRPr="00B506D2" w:rsidRDefault="00C27EB6" w:rsidP="00F52CF5">
      <w:pPr>
        <w:pStyle w:val="a5"/>
      </w:pPr>
      <w:r w:rsidRPr="00B506D2">
        <w:t>入力文書</w:t>
      </w:r>
      <w:r w:rsidRPr="00B506D2">
        <w:t xml:space="preserve">  </w:t>
      </w:r>
      <w:r w:rsidR="00865BA1" w:rsidRPr="00B506D2">
        <w:rPr>
          <w:rFonts w:hint="eastAsia"/>
        </w:rPr>
        <w:t>Doc.1/158, 1/173(Rev.1)</w:t>
      </w:r>
      <w:r w:rsidR="00D57467" w:rsidRPr="00B506D2">
        <w:rPr>
          <w:rFonts w:hint="eastAsia"/>
        </w:rPr>
        <w:t>, 1/176</w:t>
      </w:r>
    </w:p>
    <w:p w:rsidR="00055467" w:rsidRPr="00E95B31" w:rsidRDefault="00055467" w:rsidP="00E95B31">
      <w:r w:rsidRPr="00E95B31">
        <w:rPr>
          <w:rFonts w:hint="eastAsia"/>
        </w:rPr>
        <w:t>WP1B</w:t>
      </w:r>
      <w:r w:rsidRPr="00E95B31">
        <w:rPr>
          <w:rFonts w:hint="eastAsia"/>
        </w:rPr>
        <w:t>から提出された</w:t>
      </w:r>
      <w:r w:rsidRPr="00E95B31">
        <w:rPr>
          <w:rFonts w:hint="eastAsia"/>
        </w:rPr>
        <w:t>1/173</w:t>
      </w:r>
      <w:r w:rsidRPr="00E95B31">
        <w:rPr>
          <w:rFonts w:hint="eastAsia"/>
        </w:rPr>
        <w:t>、および</w:t>
      </w:r>
      <w:r w:rsidRPr="00E95B31">
        <w:rPr>
          <w:rFonts w:hint="eastAsia"/>
        </w:rPr>
        <w:t>WP1C</w:t>
      </w:r>
      <w:r w:rsidRPr="00E95B31">
        <w:rPr>
          <w:rFonts w:hint="eastAsia"/>
        </w:rPr>
        <w:t>から提出された</w:t>
      </w:r>
      <w:r w:rsidRPr="00E95B31">
        <w:rPr>
          <w:rFonts w:hint="eastAsia"/>
        </w:rPr>
        <w:t>1/158</w:t>
      </w:r>
      <w:r w:rsidRPr="00E95B31">
        <w:rPr>
          <w:rFonts w:hint="eastAsia"/>
        </w:rPr>
        <w:t>をもとに、</w:t>
      </w:r>
      <w:r w:rsidR="00D57467" w:rsidRPr="00E95B31">
        <w:rPr>
          <w:rFonts w:hint="eastAsia"/>
        </w:rPr>
        <w:t>206/1, 218-1/1, 234/1</w:t>
      </w:r>
      <w:r w:rsidR="00D57467" w:rsidRPr="00E95B31">
        <w:rPr>
          <w:rFonts w:hint="eastAsia"/>
        </w:rPr>
        <w:t>の</w:t>
      </w:r>
      <w:r w:rsidR="00D57467" w:rsidRPr="00E95B31">
        <w:rPr>
          <w:rFonts w:hint="eastAsia"/>
        </w:rPr>
        <w:t>3</w:t>
      </w:r>
      <w:r w:rsidR="00D57467" w:rsidRPr="00E95B31">
        <w:rPr>
          <w:rFonts w:hint="eastAsia"/>
        </w:rPr>
        <w:t>件は検討完了のため、一方、</w:t>
      </w:r>
      <w:r w:rsidR="00D57467" w:rsidRPr="00E95B31">
        <w:rPr>
          <w:rFonts w:hint="eastAsia"/>
        </w:rPr>
        <w:t>209-1/1, 230/1</w:t>
      </w:r>
      <w:r w:rsidR="00D57467" w:rsidRPr="00E95B31">
        <w:rPr>
          <w:rFonts w:hint="eastAsia"/>
        </w:rPr>
        <w:t>は寄書の提出がないためという理由から、</w:t>
      </w:r>
      <w:r w:rsidR="00B32870" w:rsidRPr="00E95B31">
        <w:rPr>
          <w:rFonts w:hint="eastAsia"/>
        </w:rPr>
        <w:t>合計で</w:t>
      </w:r>
      <w:r w:rsidR="00D57467" w:rsidRPr="00E95B31">
        <w:rPr>
          <w:rFonts w:hint="eastAsia"/>
        </w:rPr>
        <w:t>5</w:t>
      </w:r>
      <w:r w:rsidR="00D57467" w:rsidRPr="00E95B31">
        <w:rPr>
          <w:rFonts w:hint="eastAsia"/>
        </w:rPr>
        <w:t>件の課題の削除が採択され、</w:t>
      </w:r>
      <w:r w:rsidR="00D57467" w:rsidRPr="00E95B31">
        <w:rPr>
          <w:rFonts w:hint="eastAsia"/>
        </w:rPr>
        <w:t>PSAA</w:t>
      </w:r>
      <w:r w:rsidR="00D57467" w:rsidRPr="00E95B31">
        <w:rPr>
          <w:rFonts w:hint="eastAsia"/>
        </w:rPr>
        <w:t>による承認に回されることになった。</w:t>
      </w:r>
    </w:p>
    <w:p w:rsidR="00C27EB6" w:rsidRPr="00E95B31" w:rsidRDefault="00D57467" w:rsidP="00E95B31">
      <w:r w:rsidRPr="00E95B31">
        <w:rPr>
          <w:rFonts w:hint="eastAsia"/>
        </w:rPr>
        <w:t>また、</w:t>
      </w:r>
      <w:r w:rsidRPr="00E95B31">
        <w:rPr>
          <w:rFonts w:hint="eastAsia"/>
        </w:rPr>
        <w:t>WP1B</w:t>
      </w:r>
      <w:r w:rsidRPr="00E95B31">
        <w:rPr>
          <w:rFonts w:hint="eastAsia"/>
        </w:rPr>
        <w:t>の提案により</w:t>
      </w:r>
      <w:r w:rsidR="00B32870" w:rsidRPr="00E95B31">
        <w:rPr>
          <w:rFonts w:hint="eastAsia"/>
        </w:rPr>
        <w:t>勧告</w:t>
      </w:r>
      <w:r w:rsidR="00B32870" w:rsidRPr="00E95B31">
        <w:rPr>
          <w:rFonts w:hint="eastAsia"/>
        </w:rPr>
        <w:t>SM.667</w:t>
      </w:r>
      <w:r w:rsidR="00B32870" w:rsidRPr="00E95B31">
        <w:rPr>
          <w:rFonts w:hint="eastAsia"/>
        </w:rPr>
        <w:t>は情報が古いため、</w:t>
      </w:r>
      <w:r w:rsidR="00B32870" w:rsidRPr="00E95B31">
        <w:rPr>
          <w:rFonts w:hint="eastAsia"/>
        </w:rPr>
        <w:t>SM.1048</w:t>
      </w:r>
      <w:r w:rsidR="00B32870" w:rsidRPr="00E95B31">
        <w:rPr>
          <w:rFonts w:hint="eastAsia"/>
        </w:rPr>
        <w:t>については、既に</w:t>
      </w:r>
      <w:r w:rsidR="00B32870" w:rsidRPr="00E95B31">
        <w:rPr>
          <w:rFonts w:hint="eastAsia"/>
        </w:rPr>
        <w:t>SMS4DC</w:t>
      </w:r>
      <w:r w:rsidR="00B32870" w:rsidRPr="00E95B31">
        <w:rPr>
          <w:rFonts w:hint="eastAsia"/>
        </w:rPr>
        <w:t>で置き換えられた</w:t>
      </w:r>
      <w:r w:rsidR="00B32870" w:rsidRPr="00E95B31">
        <w:rPr>
          <w:rFonts w:hint="eastAsia"/>
        </w:rPr>
        <w:t>BASMS</w:t>
      </w:r>
      <w:r w:rsidR="00B32870" w:rsidRPr="00E95B31">
        <w:rPr>
          <w:rFonts w:hint="eastAsia"/>
        </w:rPr>
        <w:t>を対象とした設計ガイドラインであるという理由から削除が提案され、いずれも特段の議論なく合意された。</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810"/>
        <w:gridCol w:w="1350"/>
        <w:gridCol w:w="4950"/>
      </w:tblGrid>
      <w:tr w:rsidR="00C77A3D" w:rsidRPr="00B506D2" w:rsidTr="00D57467">
        <w:tc>
          <w:tcPr>
            <w:tcW w:w="1188" w:type="dxa"/>
            <w:vMerge w:val="restart"/>
            <w:vAlign w:val="center"/>
          </w:tcPr>
          <w:p w:rsidR="00C77A3D" w:rsidRPr="00B506D2" w:rsidRDefault="00C77A3D" w:rsidP="000058A5">
            <w:r w:rsidRPr="00B506D2">
              <w:rPr>
                <w:rFonts w:hint="eastAsia"/>
              </w:rPr>
              <w:t>文書番号</w:t>
            </w:r>
          </w:p>
        </w:tc>
        <w:tc>
          <w:tcPr>
            <w:tcW w:w="1080" w:type="dxa"/>
            <w:vMerge w:val="restart"/>
            <w:vAlign w:val="center"/>
          </w:tcPr>
          <w:p w:rsidR="00C77A3D" w:rsidRPr="00B506D2" w:rsidRDefault="00C77A3D" w:rsidP="000058A5">
            <w:r w:rsidRPr="00B506D2">
              <w:rPr>
                <w:rFonts w:hint="eastAsia"/>
              </w:rPr>
              <w:t>提出元</w:t>
            </w:r>
          </w:p>
        </w:tc>
        <w:tc>
          <w:tcPr>
            <w:tcW w:w="2160" w:type="dxa"/>
            <w:gridSpan w:val="2"/>
            <w:vAlign w:val="center"/>
          </w:tcPr>
          <w:p w:rsidR="00C77A3D" w:rsidRPr="00B506D2" w:rsidRDefault="00C77A3D" w:rsidP="000058A5">
            <w:pPr>
              <w:jc w:val="center"/>
            </w:pPr>
            <w:r w:rsidRPr="00B506D2">
              <w:rPr>
                <w:rFonts w:hint="eastAsia"/>
              </w:rPr>
              <w:t>削除対象</w:t>
            </w:r>
          </w:p>
        </w:tc>
        <w:tc>
          <w:tcPr>
            <w:tcW w:w="4950" w:type="dxa"/>
            <w:vMerge w:val="restart"/>
            <w:vAlign w:val="center"/>
          </w:tcPr>
          <w:p w:rsidR="00C77A3D" w:rsidRPr="00B506D2" w:rsidRDefault="00C77A3D" w:rsidP="000058A5">
            <w:pPr>
              <w:jc w:val="center"/>
            </w:pPr>
            <w:r w:rsidRPr="00B506D2">
              <w:rPr>
                <w:rFonts w:hint="eastAsia"/>
              </w:rPr>
              <w:t>表題</w:t>
            </w:r>
          </w:p>
        </w:tc>
      </w:tr>
      <w:tr w:rsidR="00C77A3D" w:rsidRPr="00B506D2" w:rsidTr="00D57467">
        <w:tc>
          <w:tcPr>
            <w:tcW w:w="1188" w:type="dxa"/>
            <w:vMerge/>
          </w:tcPr>
          <w:p w:rsidR="00C77A3D" w:rsidRPr="00B506D2" w:rsidRDefault="00C77A3D" w:rsidP="000058A5"/>
        </w:tc>
        <w:tc>
          <w:tcPr>
            <w:tcW w:w="1080" w:type="dxa"/>
            <w:vMerge/>
          </w:tcPr>
          <w:p w:rsidR="00C77A3D" w:rsidRPr="00B506D2" w:rsidRDefault="00C77A3D" w:rsidP="000058A5"/>
        </w:tc>
        <w:tc>
          <w:tcPr>
            <w:tcW w:w="810" w:type="dxa"/>
          </w:tcPr>
          <w:p w:rsidR="00C77A3D" w:rsidRPr="00B506D2" w:rsidRDefault="00C77A3D" w:rsidP="000058A5">
            <w:r w:rsidRPr="00B506D2">
              <w:rPr>
                <w:rFonts w:hint="eastAsia"/>
              </w:rPr>
              <w:t>種別</w:t>
            </w:r>
          </w:p>
        </w:tc>
        <w:tc>
          <w:tcPr>
            <w:tcW w:w="1350" w:type="dxa"/>
          </w:tcPr>
          <w:p w:rsidR="00C77A3D" w:rsidRPr="00B506D2" w:rsidRDefault="00C77A3D" w:rsidP="000058A5">
            <w:r w:rsidRPr="00B506D2">
              <w:rPr>
                <w:rFonts w:hint="eastAsia"/>
              </w:rPr>
              <w:t>番号</w:t>
            </w:r>
          </w:p>
        </w:tc>
        <w:tc>
          <w:tcPr>
            <w:tcW w:w="4950" w:type="dxa"/>
            <w:vMerge/>
          </w:tcPr>
          <w:p w:rsidR="00C77A3D" w:rsidRPr="00B506D2" w:rsidRDefault="00C77A3D" w:rsidP="000058A5"/>
        </w:tc>
      </w:tr>
      <w:tr w:rsidR="00D57467" w:rsidRPr="00AA5595" w:rsidTr="00D57467">
        <w:tc>
          <w:tcPr>
            <w:tcW w:w="1188" w:type="dxa"/>
            <w:vMerge w:val="restart"/>
            <w:vAlign w:val="center"/>
          </w:tcPr>
          <w:p w:rsidR="00D57467" w:rsidRPr="00B506D2" w:rsidRDefault="00D57467" w:rsidP="000058A5">
            <w:r w:rsidRPr="00B506D2">
              <w:rPr>
                <w:rFonts w:hint="eastAsia"/>
              </w:rPr>
              <w:t>1/158</w:t>
            </w:r>
          </w:p>
        </w:tc>
        <w:tc>
          <w:tcPr>
            <w:tcW w:w="1080" w:type="dxa"/>
            <w:vMerge w:val="restart"/>
            <w:vAlign w:val="center"/>
          </w:tcPr>
          <w:p w:rsidR="00D57467" w:rsidRPr="00B506D2" w:rsidRDefault="00D57467" w:rsidP="000058A5">
            <w:r w:rsidRPr="00B506D2">
              <w:rPr>
                <w:rFonts w:hint="eastAsia"/>
              </w:rPr>
              <w:t>WP1C</w:t>
            </w:r>
          </w:p>
        </w:tc>
        <w:tc>
          <w:tcPr>
            <w:tcW w:w="810" w:type="dxa"/>
            <w:vAlign w:val="center"/>
          </w:tcPr>
          <w:p w:rsidR="00D57467" w:rsidRPr="00B506D2" w:rsidRDefault="00D57467" w:rsidP="000058A5">
            <w:r w:rsidRPr="00B506D2">
              <w:rPr>
                <w:rFonts w:hint="eastAsia"/>
              </w:rPr>
              <w:t>課題</w:t>
            </w:r>
          </w:p>
        </w:tc>
        <w:tc>
          <w:tcPr>
            <w:tcW w:w="1350" w:type="dxa"/>
            <w:vAlign w:val="center"/>
          </w:tcPr>
          <w:p w:rsidR="00D57467" w:rsidRPr="00B506D2" w:rsidRDefault="00D57467" w:rsidP="000058A5">
            <w:r w:rsidRPr="00B506D2">
              <w:t>218-1/1</w:t>
            </w:r>
          </w:p>
        </w:tc>
        <w:tc>
          <w:tcPr>
            <w:tcW w:w="4950" w:type="dxa"/>
          </w:tcPr>
          <w:p w:rsidR="00D57467" w:rsidRPr="00AA5595" w:rsidRDefault="00D57467" w:rsidP="000058A5">
            <w:r w:rsidRPr="00AA5595">
              <w:t>Techniques for measurement of radiation from high data rate telecommunication systems using wired electrical power supply</w:t>
            </w:r>
          </w:p>
        </w:tc>
      </w:tr>
      <w:tr w:rsidR="00D57467" w:rsidRPr="00AA5595" w:rsidTr="00D57467">
        <w:tc>
          <w:tcPr>
            <w:tcW w:w="1188" w:type="dxa"/>
            <w:vMerge/>
            <w:vAlign w:val="center"/>
          </w:tcPr>
          <w:p w:rsidR="00D57467" w:rsidRPr="00AA5595" w:rsidRDefault="00D57467" w:rsidP="000058A5"/>
        </w:tc>
        <w:tc>
          <w:tcPr>
            <w:tcW w:w="1080" w:type="dxa"/>
            <w:vMerge/>
            <w:vAlign w:val="center"/>
          </w:tcPr>
          <w:p w:rsidR="00D57467" w:rsidRPr="00AA5595" w:rsidRDefault="00D57467" w:rsidP="000058A5"/>
        </w:tc>
        <w:tc>
          <w:tcPr>
            <w:tcW w:w="810" w:type="dxa"/>
            <w:vAlign w:val="center"/>
          </w:tcPr>
          <w:p w:rsidR="00D57467" w:rsidRPr="00B506D2" w:rsidRDefault="00D57467" w:rsidP="000058A5">
            <w:r w:rsidRPr="00B506D2">
              <w:rPr>
                <w:rFonts w:hint="eastAsia"/>
              </w:rPr>
              <w:t>課題</w:t>
            </w:r>
          </w:p>
        </w:tc>
        <w:tc>
          <w:tcPr>
            <w:tcW w:w="1350" w:type="dxa"/>
            <w:vAlign w:val="center"/>
          </w:tcPr>
          <w:p w:rsidR="00D57467" w:rsidRPr="00B506D2" w:rsidRDefault="00D57467" w:rsidP="000058A5">
            <w:r w:rsidRPr="00B506D2">
              <w:t>230/1</w:t>
            </w:r>
          </w:p>
        </w:tc>
        <w:tc>
          <w:tcPr>
            <w:tcW w:w="4950" w:type="dxa"/>
          </w:tcPr>
          <w:p w:rsidR="00D57467" w:rsidRPr="00AA5595" w:rsidRDefault="00D57467" w:rsidP="000058A5">
            <w:r w:rsidRPr="00AA5595">
              <w:t>Improved measurement methods for unwanted emissions of primary radars using magnetrons</w:t>
            </w:r>
          </w:p>
        </w:tc>
      </w:tr>
      <w:tr w:rsidR="00D57467" w:rsidRPr="00B506D2" w:rsidTr="00D57467">
        <w:tc>
          <w:tcPr>
            <w:tcW w:w="1188" w:type="dxa"/>
            <w:vMerge/>
            <w:vAlign w:val="center"/>
          </w:tcPr>
          <w:p w:rsidR="00D57467" w:rsidRPr="00AA5595" w:rsidRDefault="00D57467" w:rsidP="000058A5"/>
        </w:tc>
        <w:tc>
          <w:tcPr>
            <w:tcW w:w="1080" w:type="dxa"/>
            <w:vMerge/>
            <w:vAlign w:val="center"/>
          </w:tcPr>
          <w:p w:rsidR="00D57467" w:rsidRPr="00AA5595" w:rsidRDefault="00D57467" w:rsidP="000058A5"/>
        </w:tc>
        <w:tc>
          <w:tcPr>
            <w:tcW w:w="810" w:type="dxa"/>
            <w:vAlign w:val="center"/>
          </w:tcPr>
          <w:p w:rsidR="00D57467" w:rsidRPr="00B506D2" w:rsidRDefault="00D57467" w:rsidP="000058A5">
            <w:r w:rsidRPr="00B506D2">
              <w:rPr>
                <w:rFonts w:hint="eastAsia"/>
              </w:rPr>
              <w:t>課題</w:t>
            </w:r>
          </w:p>
        </w:tc>
        <w:tc>
          <w:tcPr>
            <w:tcW w:w="1350" w:type="dxa"/>
            <w:vAlign w:val="center"/>
          </w:tcPr>
          <w:p w:rsidR="00D57467" w:rsidRPr="00B506D2" w:rsidRDefault="00D57467" w:rsidP="000058A5">
            <w:r w:rsidRPr="00B506D2">
              <w:t>234/1</w:t>
            </w:r>
          </w:p>
        </w:tc>
        <w:tc>
          <w:tcPr>
            <w:tcW w:w="4950" w:type="dxa"/>
          </w:tcPr>
          <w:p w:rsidR="00D57467" w:rsidRPr="00B506D2" w:rsidRDefault="00D57467" w:rsidP="000058A5">
            <w:r w:rsidRPr="00B506D2">
              <w:t>Alternative techniques for radiolocation determination</w:t>
            </w:r>
          </w:p>
        </w:tc>
      </w:tr>
      <w:tr w:rsidR="00D57467" w:rsidRPr="00AA5595" w:rsidTr="00D57467">
        <w:trPr>
          <w:trHeight w:val="620"/>
        </w:trPr>
        <w:tc>
          <w:tcPr>
            <w:tcW w:w="1188" w:type="dxa"/>
            <w:vMerge w:val="restart"/>
            <w:vAlign w:val="center"/>
          </w:tcPr>
          <w:p w:rsidR="00D57467" w:rsidRPr="00B506D2" w:rsidRDefault="00D57467" w:rsidP="000058A5">
            <w:r w:rsidRPr="00B506D2">
              <w:rPr>
                <w:rFonts w:hint="eastAsia"/>
              </w:rPr>
              <w:t>1/173</w:t>
            </w:r>
          </w:p>
        </w:tc>
        <w:tc>
          <w:tcPr>
            <w:tcW w:w="1080" w:type="dxa"/>
            <w:vMerge w:val="restart"/>
            <w:vAlign w:val="center"/>
          </w:tcPr>
          <w:p w:rsidR="00D57467" w:rsidRPr="00B506D2" w:rsidRDefault="00D57467" w:rsidP="000058A5">
            <w:r w:rsidRPr="00B506D2">
              <w:rPr>
                <w:rFonts w:hint="eastAsia"/>
              </w:rPr>
              <w:t>WP1B</w:t>
            </w:r>
          </w:p>
        </w:tc>
        <w:tc>
          <w:tcPr>
            <w:tcW w:w="810" w:type="dxa"/>
            <w:vAlign w:val="center"/>
          </w:tcPr>
          <w:p w:rsidR="00D57467" w:rsidRPr="00B506D2" w:rsidRDefault="00D57467" w:rsidP="000058A5">
            <w:r w:rsidRPr="00B506D2">
              <w:rPr>
                <w:rFonts w:hint="eastAsia"/>
              </w:rPr>
              <w:t>課題</w:t>
            </w:r>
          </w:p>
        </w:tc>
        <w:tc>
          <w:tcPr>
            <w:tcW w:w="1350" w:type="dxa"/>
            <w:vAlign w:val="center"/>
          </w:tcPr>
          <w:p w:rsidR="00D57467" w:rsidRPr="00B506D2" w:rsidRDefault="00D57467" w:rsidP="000058A5">
            <w:r w:rsidRPr="00B506D2">
              <w:t>206/1</w:t>
            </w:r>
          </w:p>
        </w:tc>
        <w:tc>
          <w:tcPr>
            <w:tcW w:w="4950" w:type="dxa"/>
          </w:tcPr>
          <w:p w:rsidR="00D57467" w:rsidRPr="00AA5595" w:rsidRDefault="00D57467" w:rsidP="000058A5">
            <w:r w:rsidRPr="00AA5595">
              <w:t>Strategies for economic approaches to national spectrum management and their financing</w:t>
            </w:r>
          </w:p>
        </w:tc>
      </w:tr>
      <w:tr w:rsidR="00D57467" w:rsidRPr="00AA5595" w:rsidTr="00D57467">
        <w:tc>
          <w:tcPr>
            <w:tcW w:w="1188" w:type="dxa"/>
            <w:vMerge/>
            <w:vAlign w:val="center"/>
          </w:tcPr>
          <w:p w:rsidR="00D57467" w:rsidRPr="00AA5595" w:rsidRDefault="00D57467" w:rsidP="000058A5"/>
        </w:tc>
        <w:tc>
          <w:tcPr>
            <w:tcW w:w="1080" w:type="dxa"/>
            <w:vMerge/>
            <w:vAlign w:val="center"/>
          </w:tcPr>
          <w:p w:rsidR="00D57467" w:rsidRPr="00AA5595" w:rsidRDefault="00D57467" w:rsidP="000058A5"/>
        </w:tc>
        <w:tc>
          <w:tcPr>
            <w:tcW w:w="810" w:type="dxa"/>
            <w:vAlign w:val="center"/>
          </w:tcPr>
          <w:p w:rsidR="00D57467" w:rsidRPr="00B506D2" w:rsidRDefault="00D57467" w:rsidP="000058A5">
            <w:r w:rsidRPr="00B506D2">
              <w:rPr>
                <w:rFonts w:hint="eastAsia"/>
              </w:rPr>
              <w:t>課題</w:t>
            </w:r>
          </w:p>
        </w:tc>
        <w:tc>
          <w:tcPr>
            <w:tcW w:w="1350" w:type="dxa"/>
            <w:vAlign w:val="center"/>
          </w:tcPr>
          <w:p w:rsidR="00D57467" w:rsidRPr="00B506D2" w:rsidRDefault="00D57467" w:rsidP="000058A5">
            <w:r w:rsidRPr="00B506D2">
              <w:t>209-1/1</w:t>
            </w:r>
          </w:p>
        </w:tc>
        <w:tc>
          <w:tcPr>
            <w:tcW w:w="4950" w:type="dxa"/>
          </w:tcPr>
          <w:p w:rsidR="00D57467" w:rsidRPr="00AA5595" w:rsidRDefault="00D57467" w:rsidP="000058A5">
            <w:r w:rsidRPr="00AA5595">
              <w:t>Parameters of radio systems and equipment required for spectrum management and the efficient use of the radio spectrum</w:t>
            </w:r>
          </w:p>
        </w:tc>
      </w:tr>
      <w:tr w:rsidR="00D57467" w:rsidRPr="00B506D2" w:rsidTr="00D57467">
        <w:tc>
          <w:tcPr>
            <w:tcW w:w="1188" w:type="dxa"/>
            <w:vMerge w:val="restart"/>
            <w:vAlign w:val="center"/>
          </w:tcPr>
          <w:p w:rsidR="00D57467" w:rsidRPr="00B506D2" w:rsidRDefault="00D57467" w:rsidP="000058A5">
            <w:r w:rsidRPr="00B506D2">
              <w:rPr>
                <w:rFonts w:hint="eastAsia"/>
              </w:rPr>
              <w:t>1/176</w:t>
            </w:r>
          </w:p>
        </w:tc>
        <w:tc>
          <w:tcPr>
            <w:tcW w:w="1080" w:type="dxa"/>
            <w:vMerge w:val="restart"/>
            <w:vAlign w:val="center"/>
          </w:tcPr>
          <w:p w:rsidR="00D57467" w:rsidRPr="00B506D2" w:rsidRDefault="00D57467" w:rsidP="000058A5">
            <w:r w:rsidRPr="00B506D2">
              <w:rPr>
                <w:rFonts w:hint="eastAsia"/>
              </w:rPr>
              <w:t>WP1B</w:t>
            </w:r>
          </w:p>
        </w:tc>
        <w:tc>
          <w:tcPr>
            <w:tcW w:w="810" w:type="dxa"/>
            <w:vAlign w:val="center"/>
          </w:tcPr>
          <w:p w:rsidR="00D57467" w:rsidRPr="00B506D2" w:rsidRDefault="00D57467" w:rsidP="000058A5">
            <w:r w:rsidRPr="00B506D2">
              <w:rPr>
                <w:rFonts w:hint="eastAsia"/>
              </w:rPr>
              <w:t>勧告</w:t>
            </w:r>
          </w:p>
        </w:tc>
        <w:tc>
          <w:tcPr>
            <w:tcW w:w="1350" w:type="dxa"/>
            <w:vAlign w:val="center"/>
          </w:tcPr>
          <w:p w:rsidR="00D57467" w:rsidRPr="00B506D2" w:rsidRDefault="00D57467" w:rsidP="000058A5">
            <w:r w:rsidRPr="00B506D2">
              <w:t>SM.667</w:t>
            </w:r>
            <w:r w:rsidRPr="00B506D2">
              <w:tab/>
            </w:r>
          </w:p>
        </w:tc>
        <w:tc>
          <w:tcPr>
            <w:tcW w:w="4950" w:type="dxa"/>
          </w:tcPr>
          <w:p w:rsidR="00D57467" w:rsidRPr="00B506D2" w:rsidRDefault="00D57467" w:rsidP="000058A5">
            <w:r w:rsidRPr="00B506D2">
              <w:t>National spectrum management data</w:t>
            </w:r>
          </w:p>
        </w:tc>
      </w:tr>
      <w:tr w:rsidR="00D57467" w:rsidRPr="00AA5595" w:rsidTr="00D57467">
        <w:tc>
          <w:tcPr>
            <w:tcW w:w="1188" w:type="dxa"/>
            <w:vMerge/>
            <w:vAlign w:val="center"/>
          </w:tcPr>
          <w:p w:rsidR="00D57467" w:rsidRPr="00B506D2" w:rsidRDefault="00D57467" w:rsidP="000058A5"/>
        </w:tc>
        <w:tc>
          <w:tcPr>
            <w:tcW w:w="1080" w:type="dxa"/>
            <w:vMerge/>
            <w:vAlign w:val="center"/>
          </w:tcPr>
          <w:p w:rsidR="00D57467" w:rsidRPr="00B506D2" w:rsidRDefault="00D57467" w:rsidP="000058A5"/>
        </w:tc>
        <w:tc>
          <w:tcPr>
            <w:tcW w:w="810" w:type="dxa"/>
            <w:vAlign w:val="center"/>
          </w:tcPr>
          <w:p w:rsidR="00D57467" w:rsidRPr="00B506D2" w:rsidRDefault="00D57467" w:rsidP="000058A5">
            <w:r w:rsidRPr="00B506D2">
              <w:rPr>
                <w:rFonts w:hint="eastAsia"/>
              </w:rPr>
              <w:t>勧告</w:t>
            </w:r>
          </w:p>
        </w:tc>
        <w:tc>
          <w:tcPr>
            <w:tcW w:w="1350" w:type="dxa"/>
            <w:vAlign w:val="center"/>
          </w:tcPr>
          <w:p w:rsidR="00D57467" w:rsidRPr="00B506D2" w:rsidRDefault="00D57467" w:rsidP="000058A5">
            <w:r w:rsidRPr="00B506D2">
              <w:t>SM.1048</w:t>
            </w:r>
          </w:p>
        </w:tc>
        <w:tc>
          <w:tcPr>
            <w:tcW w:w="4950" w:type="dxa"/>
          </w:tcPr>
          <w:p w:rsidR="00D57467" w:rsidRPr="00AA5595" w:rsidRDefault="00D57467" w:rsidP="000058A5">
            <w:r w:rsidRPr="00AA5595">
              <w:t>Design guidelines for a basic automated spectrum management system (BASMS)</w:t>
            </w:r>
          </w:p>
        </w:tc>
      </w:tr>
    </w:tbl>
    <w:p w:rsidR="00EF56A1" w:rsidRPr="00AA5595" w:rsidRDefault="00EF56A1" w:rsidP="00B506D2"/>
    <w:p w:rsidR="00B32870" w:rsidRPr="00B506D2" w:rsidRDefault="00B32870" w:rsidP="00F52CF5">
      <w:pPr>
        <w:pStyle w:val="105pt16pt"/>
      </w:pPr>
      <w:r w:rsidRPr="00B506D2">
        <w:rPr>
          <w:rFonts w:hint="eastAsia"/>
        </w:rPr>
        <w:t>勧告、報告書、ハンドブック、課題、意見、決議、決定のステイタス</w:t>
      </w:r>
    </w:p>
    <w:p w:rsidR="00B32870" w:rsidRPr="00B506D2" w:rsidRDefault="00B32870" w:rsidP="006B3D8A">
      <w:pPr>
        <w:pStyle w:val="Style205pt11pt"/>
        <w:ind w:firstLine="281"/>
      </w:pPr>
      <w:r w:rsidRPr="00B506D2">
        <w:rPr>
          <w:rFonts w:hint="eastAsia"/>
        </w:rPr>
        <w:t>6.1</w:t>
      </w:r>
      <w:r w:rsidRPr="00B506D2">
        <w:rPr>
          <w:rFonts w:hint="eastAsia"/>
        </w:rPr>
        <w:t xml:space="preserve">　現状の確認</w:t>
      </w:r>
    </w:p>
    <w:p w:rsidR="00B32870" w:rsidRPr="00B506D2" w:rsidRDefault="00B32870" w:rsidP="00F52CF5">
      <w:pPr>
        <w:pStyle w:val="a5"/>
      </w:pPr>
      <w:r w:rsidRPr="00B506D2">
        <w:t>入力文書</w:t>
      </w:r>
      <w:r w:rsidRPr="00B506D2">
        <w:t xml:space="preserve">  </w:t>
      </w:r>
      <w:r w:rsidRPr="00B506D2">
        <w:rPr>
          <w:rFonts w:hint="eastAsia"/>
        </w:rPr>
        <w:t>Doc.1/145</w:t>
      </w:r>
    </w:p>
    <w:p w:rsidR="00B32870" w:rsidRPr="00B506D2" w:rsidRDefault="00B32870" w:rsidP="00B506D2">
      <w:r w:rsidRPr="00B506D2">
        <w:rPr>
          <w:rFonts w:hint="eastAsia"/>
        </w:rPr>
        <w:t xml:space="preserve">　</w:t>
      </w:r>
      <w:r w:rsidRPr="00B506D2">
        <w:rPr>
          <w:rFonts w:hint="eastAsia"/>
        </w:rPr>
        <w:t>SG1</w:t>
      </w:r>
      <w:r w:rsidRPr="00B506D2">
        <w:rPr>
          <w:rFonts w:hint="eastAsia"/>
        </w:rPr>
        <w:t>に割り当てられた課題、勧告、報告書に関するステイタスとコメントを整理した文書が韓国から提示され、特段の議論なく議長ノートされた。</w:t>
      </w:r>
    </w:p>
    <w:p w:rsidR="00B32870" w:rsidRPr="00B506D2" w:rsidRDefault="00B32870" w:rsidP="006B3D8A">
      <w:pPr>
        <w:pStyle w:val="Style205pt11pt"/>
        <w:ind w:firstLine="281"/>
      </w:pPr>
      <w:r w:rsidRPr="00B506D2">
        <w:rPr>
          <w:rFonts w:hint="eastAsia"/>
        </w:rPr>
        <w:t>6.2</w:t>
      </w:r>
      <w:r w:rsidRPr="00B506D2">
        <w:rPr>
          <w:rFonts w:hint="eastAsia"/>
        </w:rPr>
        <w:t xml:space="preserve">　課題の延長</w:t>
      </w:r>
    </w:p>
    <w:p w:rsidR="00B32870" w:rsidRPr="00B506D2" w:rsidRDefault="00B32870" w:rsidP="00F52CF5">
      <w:pPr>
        <w:pStyle w:val="a5"/>
      </w:pPr>
      <w:r w:rsidRPr="00B506D2">
        <w:t>入力文書</w:t>
      </w:r>
      <w:r w:rsidRPr="00B506D2">
        <w:t xml:space="preserve">  </w:t>
      </w:r>
      <w:r w:rsidRPr="00B506D2">
        <w:rPr>
          <w:rFonts w:hint="eastAsia"/>
        </w:rPr>
        <w:t>Doc.1/158, 172, 173(Rev.1)</w:t>
      </w:r>
    </w:p>
    <w:p w:rsidR="00B32870" w:rsidRPr="00B506D2" w:rsidRDefault="00B32870" w:rsidP="00B506D2">
      <w:r w:rsidRPr="00B506D2">
        <w:rPr>
          <w:rFonts w:hint="eastAsia"/>
        </w:rPr>
        <w:t xml:space="preserve">　以下の</w:t>
      </w:r>
      <w:r w:rsidRPr="00B506D2">
        <w:rPr>
          <w:rFonts w:hint="eastAsia"/>
        </w:rPr>
        <w:t>6</w:t>
      </w:r>
      <w:r w:rsidRPr="00B506D2">
        <w:rPr>
          <w:rFonts w:hint="eastAsia"/>
        </w:rPr>
        <w:t>件の課題の延長についてはすべて特段の議論なく承認された。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1260"/>
        <w:gridCol w:w="5130"/>
        <w:gridCol w:w="990"/>
      </w:tblGrid>
      <w:tr w:rsidR="00B32870" w:rsidRPr="00B506D2" w:rsidTr="004573FC">
        <w:tc>
          <w:tcPr>
            <w:tcW w:w="1188" w:type="dxa"/>
          </w:tcPr>
          <w:p w:rsidR="00B32870" w:rsidRPr="00B506D2" w:rsidRDefault="00B32870" w:rsidP="000058A5">
            <w:r w:rsidRPr="00B506D2">
              <w:rPr>
                <w:rFonts w:hint="eastAsia"/>
              </w:rPr>
              <w:t>文書番号</w:t>
            </w:r>
          </w:p>
        </w:tc>
        <w:tc>
          <w:tcPr>
            <w:tcW w:w="1080" w:type="dxa"/>
          </w:tcPr>
          <w:p w:rsidR="00B32870" w:rsidRPr="00B506D2" w:rsidRDefault="00B32870" w:rsidP="000058A5">
            <w:r w:rsidRPr="00B506D2">
              <w:rPr>
                <w:rFonts w:hint="eastAsia"/>
              </w:rPr>
              <w:t>提出元</w:t>
            </w:r>
          </w:p>
        </w:tc>
        <w:tc>
          <w:tcPr>
            <w:tcW w:w="1260" w:type="dxa"/>
          </w:tcPr>
          <w:p w:rsidR="00B32870" w:rsidRPr="00B506D2" w:rsidRDefault="00B32870" w:rsidP="000058A5">
            <w:r w:rsidRPr="00B506D2">
              <w:rPr>
                <w:rFonts w:hint="eastAsia"/>
              </w:rPr>
              <w:t>課題番号</w:t>
            </w:r>
          </w:p>
        </w:tc>
        <w:tc>
          <w:tcPr>
            <w:tcW w:w="5130" w:type="dxa"/>
          </w:tcPr>
          <w:p w:rsidR="00B32870" w:rsidRPr="00B506D2" w:rsidRDefault="00B32870" w:rsidP="000058A5">
            <w:r w:rsidRPr="00B506D2">
              <w:rPr>
                <w:rFonts w:hint="eastAsia"/>
              </w:rPr>
              <w:t>表題</w:t>
            </w:r>
          </w:p>
        </w:tc>
        <w:tc>
          <w:tcPr>
            <w:tcW w:w="990" w:type="dxa"/>
          </w:tcPr>
          <w:p w:rsidR="00B32870" w:rsidRPr="00B506D2" w:rsidRDefault="00B32870" w:rsidP="000058A5">
            <w:r w:rsidRPr="00B506D2">
              <w:rPr>
                <w:rFonts w:hint="eastAsia"/>
              </w:rPr>
              <w:t>新期限</w:t>
            </w:r>
          </w:p>
        </w:tc>
      </w:tr>
      <w:tr w:rsidR="00B32870" w:rsidRPr="00B506D2" w:rsidTr="004573FC">
        <w:tc>
          <w:tcPr>
            <w:tcW w:w="1188" w:type="dxa"/>
            <w:vMerge w:val="restart"/>
          </w:tcPr>
          <w:p w:rsidR="00B32870" w:rsidRPr="00B506D2" w:rsidRDefault="00B32870" w:rsidP="000058A5">
            <w:r w:rsidRPr="00B506D2">
              <w:rPr>
                <w:rFonts w:hint="eastAsia"/>
              </w:rPr>
              <w:t>1/158</w:t>
            </w:r>
          </w:p>
        </w:tc>
        <w:tc>
          <w:tcPr>
            <w:tcW w:w="1080" w:type="dxa"/>
            <w:vMerge w:val="restart"/>
          </w:tcPr>
          <w:p w:rsidR="00B32870" w:rsidRPr="00B506D2" w:rsidRDefault="00B32870" w:rsidP="000058A5">
            <w:r w:rsidRPr="00B506D2">
              <w:rPr>
                <w:rFonts w:hint="eastAsia"/>
              </w:rPr>
              <w:t>WP1C</w:t>
            </w:r>
          </w:p>
        </w:tc>
        <w:tc>
          <w:tcPr>
            <w:tcW w:w="1260" w:type="dxa"/>
          </w:tcPr>
          <w:p w:rsidR="00B32870" w:rsidRPr="00B506D2" w:rsidRDefault="00B32870" w:rsidP="000058A5">
            <w:r w:rsidRPr="00B506D2">
              <w:rPr>
                <w:rFonts w:hint="eastAsia"/>
              </w:rPr>
              <w:t>232/1</w:t>
            </w:r>
          </w:p>
        </w:tc>
        <w:tc>
          <w:tcPr>
            <w:tcW w:w="5130" w:type="dxa"/>
          </w:tcPr>
          <w:p w:rsidR="00B32870" w:rsidRPr="00B506D2" w:rsidRDefault="00B32870" w:rsidP="000058A5">
            <w:r w:rsidRPr="00B506D2">
              <w:t>Methods and techniques used in space radio monitoring</w:t>
            </w:r>
          </w:p>
        </w:tc>
        <w:tc>
          <w:tcPr>
            <w:tcW w:w="990" w:type="dxa"/>
          </w:tcPr>
          <w:p w:rsidR="00B32870" w:rsidRPr="00B506D2" w:rsidRDefault="00B32870" w:rsidP="000058A5">
            <w:r w:rsidRPr="00B506D2">
              <w:rPr>
                <w:rFonts w:hint="eastAsia"/>
              </w:rPr>
              <w:t>2015</w:t>
            </w:r>
          </w:p>
        </w:tc>
      </w:tr>
      <w:tr w:rsidR="00B32870" w:rsidRPr="00B506D2" w:rsidTr="004573FC">
        <w:tc>
          <w:tcPr>
            <w:tcW w:w="1188" w:type="dxa"/>
            <w:vMerge/>
          </w:tcPr>
          <w:p w:rsidR="00B32870" w:rsidRPr="00B506D2" w:rsidRDefault="00B32870" w:rsidP="000058A5"/>
        </w:tc>
        <w:tc>
          <w:tcPr>
            <w:tcW w:w="1080" w:type="dxa"/>
            <w:vMerge/>
          </w:tcPr>
          <w:p w:rsidR="00B32870" w:rsidRPr="00B506D2" w:rsidRDefault="00B32870" w:rsidP="000058A5"/>
        </w:tc>
        <w:tc>
          <w:tcPr>
            <w:tcW w:w="1260" w:type="dxa"/>
          </w:tcPr>
          <w:p w:rsidR="00B32870" w:rsidRPr="00B506D2" w:rsidRDefault="00B32870" w:rsidP="000058A5">
            <w:r w:rsidRPr="00B506D2">
              <w:rPr>
                <w:rFonts w:hint="eastAsia"/>
              </w:rPr>
              <w:t>233/1</w:t>
            </w:r>
          </w:p>
        </w:tc>
        <w:tc>
          <w:tcPr>
            <w:tcW w:w="5130" w:type="dxa"/>
          </w:tcPr>
          <w:p w:rsidR="00B32870" w:rsidRPr="00B506D2" w:rsidRDefault="00B32870" w:rsidP="000058A5">
            <w:r w:rsidRPr="00B506D2">
              <w:t>Measurement of spectrum occupancy</w:t>
            </w:r>
          </w:p>
        </w:tc>
        <w:tc>
          <w:tcPr>
            <w:tcW w:w="990" w:type="dxa"/>
          </w:tcPr>
          <w:p w:rsidR="00B32870" w:rsidRPr="00B506D2" w:rsidRDefault="00B32870" w:rsidP="000058A5">
            <w:r w:rsidRPr="00B506D2">
              <w:rPr>
                <w:rFonts w:hint="eastAsia"/>
              </w:rPr>
              <w:t>2015</w:t>
            </w:r>
          </w:p>
        </w:tc>
      </w:tr>
      <w:tr w:rsidR="00B32870" w:rsidRPr="00B506D2" w:rsidTr="004573FC">
        <w:tc>
          <w:tcPr>
            <w:tcW w:w="1188" w:type="dxa"/>
            <w:vMerge w:val="restart"/>
          </w:tcPr>
          <w:p w:rsidR="00B32870" w:rsidRPr="00B506D2" w:rsidRDefault="00B32870" w:rsidP="000058A5">
            <w:r w:rsidRPr="00B506D2">
              <w:rPr>
                <w:rFonts w:hint="eastAsia"/>
              </w:rPr>
              <w:t>1/172</w:t>
            </w:r>
          </w:p>
        </w:tc>
        <w:tc>
          <w:tcPr>
            <w:tcW w:w="1080" w:type="dxa"/>
            <w:vMerge w:val="restart"/>
          </w:tcPr>
          <w:p w:rsidR="00B32870" w:rsidRPr="00B506D2" w:rsidRDefault="00B32870" w:rsidP="000058A5">
            <w:r w:rsidRPr="00B506D2">
              <w:rPr>
                <w:rFonts w:hint="eastAsia"/>
              </w:rPr>
              <w:t>WP1A</w:t>
            </w:r>
          </w:p>
        </w:tc>
        <w:tc>
          <w:tcPr>
            <w:tcW w:w="1260" w:type="dxa"/>
          </w:tcPr>
          <w:p w:rsidR="00B32870" w:rsidRPr="00B506D2" w:rsidRDefault="00B32870" w:rsidP="000058A5">
            <w:r w:rsidRPr="00B506D2">
              <w:rPr>
                <w:rFonts w:hint="eastAsia"/>
              </w:rPr>
              <w:t>221-2/1</w:t>
            </w:r>
          </w:p>
        </w:tc>
        <w:tc>
          <w:tcPr>
            <w:tcW w:w="5130" w:type="dxa"/>
          </w:tcPr>
          <w:p w:rsidR="00B32870" w:rsidRPr="00B506D2" w:rsidRDefault="00B32870" w:rsidP="000058A5">
            <w:r w:rsidRPr="00B506D2">
              <w:t>Compatibility between radiocommunication systems and high data telecommunication systems using wired electrical power supply</w:t>
            </w:r>
          </w:p>
        </w:tc>
        <w:tc>
          <w:tcPr>
            <w:tcW w:w="990" w:type="dxa"/>
          </w:tcPr>
          <w:p w:rsidR="00B32870" w:rsidRPr="00B506D2" w:rsidRDefault="00B32870" w:rsidP="000058A5">
            <w:r w:rsidRPr="00B506D2">
              <w:rPr>
                <w:rFonts w:hint="eastAsia"/>
              </w:rPr>
              <w:t>2013</w:t>
            </w:r>
          </w:p>
        </w:tc>
      </w:tr>
      <w:tr w:rsidR="00B32870" w:rsidRPr="00B506D2" w:rsidTr="004573FC">
        <w:tc>
          <w:tcPr>
            <w:tcW w:w="1188" w:type="dxa"/>
            <w:vMerge/>
          </w:tcPr>
          <w:p w:rsidR="00B32870" w:rsidRPr="00B506D2" w:rsidRDefault="00B32870" w:rsidP="000058A5"/>
        </w:tc>
        <w:tc>
          <w:tcPr>
            <w:tcW w:w="1080" w:type="dxa"/>
            <w:vMerge/>
          </w:tcPr>
          <w:p w:rsidR="00B32870" w:rsidRPr="00B506D2" w:rsidRDefault="00B32870" w:rsidP="000058A5"/>
        </w:tc>
        <w:tc>
          <w:tcPr>
            <w:tcW w:w="1260" w:type="dxa"/>
          </w:tcPr>
          <w:p w:rsidR="00B32870" w:rsidRPr="00B506D2" w:rsidRDefault="00B32870" w:rsidP="000058A5">
            <w:r w:rsidRPr="00B506D2">
              <w:rPr>
                <w:rFonts w:hint="eastAsia"/>
              </w:rPr>
              <w:t>222/1</w:t>
            </w:r>
          </w:p>
        </w:tc>
        <w:tc>
          <w:tcPr>
            <w:tcW w:w="5130" w:type="dxa"/>
          </w:tcPr>
          <w:p w:rsidR="00B32870" w:rsidRPr="00B506D2" w:rsidRDefault="00B32870" w:rsidP="000058A5">
            <w:r w:rsidRPr="00B506D2">
              <w:t>Definition of the spectral properties of transmitter emissions</w:t>
            </w:r>
          </w:p>
        </w:tc>
        <w:tc>
          <w:tcPr>
            <w:tcW w:w="990" w:type="dxa"/>
          </w:tcPr>
          <w:p w:rsidR="00B32870" w:rsidRPr="00B506D2" w:rsidRDefault="00B32870" w:rsidP="000058A5">
            <w:r w:rsidRPr="00B506D2">
              <w:rPr>
                <w:rFonts w:hint="eastAsia"/>
              </w:rPr>
              <w:t>2015</w:t>
            </w:r>
          </w:p>
        </w:tc>
      </w:tr>
      <w:tr w:rsidR="00B32870" w:rsidRPr="00B506D2" w:rsidTr="004573FC">
        <w:tc>
          <w:tcPr>
            <w:tcW w:w="1188" w:type="dxa"/>
            <w:vMerge w:val="restart"/>
          </w:tcPr>
          <w:p w:rsidR="00B32870" w:rsidRPr="00B506D2" w:rsidRDefault="00B32870" w:rsidP="000058A5">
            <w:r w:rsidRPr="00B506D2">
              <w:rPr>
                <w:rFonts w:hint="eastAsia"/>
              </w:rPr>
              <w:t>1/173</w:t>
            </w:r>
          </w:p>
        </w:tc>
        <w:tc>
          <w:tcPr>
            <w:tcW w:w="1080" w:type="dxa"/>
            <w:vMerge w:val="restart"/>
          </w:tcPr>
          <w:p w:rsidR="00B32870" w:rsidRPr="00B506D2" w:rsidRDefault="00B32870" w:rsidP="000058A5">
            <w:r w:rsidRPr="00B506D2">
              <w:rPr>
                <w:rFonts w:hint="eastAsia"/>
              </w:rPr>
              <w:t>WP1B</w:t>
            </w:r>
          </w:p>
        </w:tc>
        <w:tc>
          <w:tcPr>
            <w:tcW w:w="1260" w:type="dxa"/>
          </w:tcPr>
          <w:p w:rsidR="00B32870" w:rsidRPr="00B506D2" w:rsidRDefault="00B32870" w:rsidP="000058A5">
            <w:r w:rsidRPr="00B506D2">
              <w:rPr>
                <w:rFonts w:hint="eastAsia"/>
              </w:rPr>
              <w:t>208-1</w:t>
            </w:r>
            <w:r w:rsidRPr="00B506D2">
              <w:rPr>
                <w:rFonts w:hint="eastAsia"/>
              </w:rPr>
              <w:t xml:space="preserve">　</w:t>
            </w:r>
          </w:p>
        </w:tc>
        <w:tc>
          <w:tcPr>
            <w:tcW w:w="5130" w:type="dxa"/>
          </w:tcPr>
          <w:p w:rsidR="00B32870" w:rsidRPr="00B506D2" w:rsidRDefault="00B32870" w:rsidP="000058A5">
            <w:r w:rsidRPr="00B506D2">
              <w:t>Alternative methods of national spectrum management</w:t>
            </w:r>
          </w:p>
        </w:tc>
        <w:tc>
          <w:tcPr>
            <w:tcW w:w="990" w:type="dxa"/>
          </w:tcPr>
          <w:p w:rsidR="00B32870" w:rsidRPr="00B506D2" w:rsidRDefault="00B32870" w:rsidP="000058A5">
            <w:r w:rsidRPr="00B506D2">
              <w:rPr>
                <w:rFonts w:hint="eastAsia"/>
              </w:rPr>
              <w:t>2012</w:t>
            </w:r>
          </w:p>
        </w:tc>
      </w:tr>
      <w:tr w:rsidR="00B32870" w:rsidRPr="00B506D2" w:rsidTr="004573FC">
        <w:tc>
          <w:tcPr>
            <w:tcW w:w="1188" w:type="dxa"/>
            <w:vMerge/>
          </w:tcPr>
          <w:p w:rsidR="00B32870" w:rsidRPr="00B506D2" w:rsidRDefault="00B32870" w:rsidP="000058A5"/>
        </w:tc>
        <w:tc>
          <w:tcPr>
            <w:tcW w:w="1080" w:type="dxa"/>
            <w:vMerge/>
          </w:tcPr>
          <w:p w:rsidR="00B32870" w:rsidRPr="00B506D2" w:rsidRDefault="00B32870" w:rsidP="000058A5"/>
        </w:tc>
        <w:tc>
          <w:tcPr>
            <w:tcW w:w="1260" w:type="dxa"/>
          </w:tcPr>
          <w:p w:rsidR="00B32870" w:rsidRPr="00B506D2" w:rsidRDefault="00B32870" w:rsidP="000058A5">
            <w:r w:rsidRPr="00B506D2">
              <w:rPr>
                <w:rFonts w:hint="eastAsia"/>
              </w:rPr>
              <w:t>216/1</w:t>
            </w:r>
          </w:p>
        </w:tc>
        <w:tc>
          <w:tcPr>
            <w:tcW w:w="5130" w:type="dxa"/>
          </w:tcPr>
          <w:p w:rsidR="00B32870" w:rsidRPr="00B506D2" w:rsidRDefault="00B32870" w:rsidP="000058A5">
            <w:r w:rsidRPr="00B506D2">
              <w:t>Spectrum redeployment as a method of national spectrum management</w:t>
            </w:r>
          </w:p>
        </w:tc>
        <w:tc>
          <w:tcPr>
            <w:tcW w:w="990" w:type="dxa"/>
          </w:tcPr>
          <w:p w:rsidR="00B32870" w:rsidRPr="00B506D2" w:rsidRDefault="00B32870" w:rsidP="000058A5">
            <w:r w:rsidRPr="00B506D2">
              <w:rPr>
                <w:rFonts w:hint="eastAsia"/>
              </w:rPr>
              <w:t>2012</w:t>
            </w:r>
          </w:p>
        </w:tc>
      </w:tr>
    </w:tbl>
    <w:p w:rsidR="00F52CF5" w:rsidRDefault="00F52CF5" w:rsidP="006B3D8A">
      <w:pPr>
        <w:pStyle w:val="Style205pt11pt"/>
        <w:ind w:firstLine="281"/>
      </w:pPr>
    </w:p>
    <w:p w:rsidR="00B32870" w:rsidRPr="00B506D2" w:rsidRDefault="00B32870" w:rsidP="006B3D8A">
      <w:pPr>
        <w:pStyle w:val="Style205pt11pt"/>
        <w:ind w:firstLine="281"/>
      </w:pPr>
      <w:r w:rsidRPr="00B506D2">
        <w:rPr>
          <w:rFonts w:hint="eastAsia"/>
        </w:rPr>
        <w:t>6.3</w:t>
      </w:r>
      <w:r w:rsidRPr="00B506D2">
        <w:rPr>
          <w:rFonts w:hint="eastAsia"/>
        </w:rPr>
        <w:t xml:space="preserve">　</w:t>
      </w:r>
      <w:r w:rsidRPr="00B506D2">
        <w:rPr>
          <w:rFonts w:hint="eastAsia"/>
        </w:rPr>
        <w:t>SG1</w:t>
      </w:r>
      <w:r w:rsidRPr="00B506D2">
        <w:rPr>
          <w:rFonts w:hint="eastAsia"/>
        </w:rPr>
        <w:t>に注意が喚起された勧告および課題</w:t>
      </w:r>
    </w:p>
    <w:p w:rsidR="00561FC3" w:rsidRPr="00B506D2" w:rsidRDefault="00561FC3" w:rsidP="00F52CF5">
      <w:pPr>
        <w:pStyle w:val="a5"/>
      </w:pPr>
      <w:r w:rsidRPr="00B506D2">
        <w:t>入力文書</w:t>
      </w:r>
      <w:r w:rsidRPr="00B506D2">
        <w:t xml:space="preserve">  </w:t>
      </w:r>
      <w:r w:rsidRPr="00B506D2">
        <w:rPr>
          <w:rFonts w:hint="eastAsia"/>
        </w:rPr>
        <w:t>Doc.1/140, 1/144</w:t>
      </w:r>
    </w:p>
    <w:p w:rsidR="00561FC3" w:rsidRPr="00E95B31" w:rsidRDefault="00561FC3" w:rsidP="00E95B31">
      <w:r w:rsidRPr="00E95B31">
        <w:rPr>
          <w:rFonts w:hint="eastAsia"/>
        </w:rPr>
        <w:t>SG6</w:t>
      </w:r>
      <w:r w:rsidRPr="00E95B31">
        <w:rPr>
          <w:rFonts w:hint="eastAsia"/>
        </w:rPr>
        <w:t>が担当する</w:t>
      </w:r>
      <w:r w:rsidRPr="00E95B31">
        <w:rPr>
          <w:rFonts w:hint="eastAsia"/>
        </w:rPr>
        <w:t>ITU-R</w:t>
      </w:r>
      <w:r w:rsidRPr="00E95B31">
        <w:rPr>
          <w:rFonts w:hint="eastAsia"/>
        </w:rPr>
        <w:t>課題</w:t>
      </w:r>
      <w:r w:rsidRPr="00E95B31">
        <w:rPr>
          <w:rFonts w:hint="eastAsia"/>
        </w:rPr>
        <w:t>32-1/6</w:t>
      </w:r>
      <w:r w:rsidRPr="00E95B31">
        <w:rPr>
          <w:rFonts w:hint="eastAsia"/>
        </w:rPr>
        <w:t>（</w:t>
      </w:r>
      <w:r w:rsidR="00451C79" w:rsidRPr="00E95B31">
        <w:rPr>
          <w:rFonts w:hint="eastAsia"/>
        </w:rPr>
        <w:t>放送システムを固定網通信システム、</w:t>
      </w:r>
      <w:r w:rsidR="00451C79" w:rsidRPr="00E95B31">
        <w:rPr>
          <w:rFonts w:hint="eastAsia"/>
        </w:rPr>
        <w:t>ISM</w:t>
      </w:r>
      <w:r w:rsidR="00451C79" w:rsidRPr="00E95B31">
        <w:rPr>
          <w:rFonts w:hint="eastAsia"/>
        </w:rPr>
        <w:t>機器、</w:t>
      </w:r>
      <w:r w:rsidR="00451C79" w:rsidRPr="00E95B31">
        <w:rPr>
          <w:rFonts w:hint="eastAsia"/>
        </w:rPr>
        <w:t>SRD</w:t>
      </w:r>
      <w:r w:rsidR="00451C79" w:rsidRPr="00E95B31">
        <w:rPr>
          <w:rFonts w:hint="eastAsia"/>
        </w:rPr>
        <w:t>との干渉から保護する要件（</w:t>
      </w:r>
      <w:r w:rsidRPr="00E95B31">
        <w:t>Protection requirements of broadcasting systems against interference from radiation caused by wired telecommunication systems, from emissions of industrial, scientific and medical equipment, and from emissions of short-range devices</w:t>
      </w:r>
      <w:r w:rsidR="00451C79" w:rsidRPr="00E95B31">
        <w:rPr>
          <w:rFonts w:hint="eastAsia"/>
        </w:rPr>
        <w:t>）</w:t>
      </w:r>
      <w:r w:rsidRPr="00E95B31">
        <w:rPr>
          <w:rFonts w:hint="eastAsia"/>
        </w:rPr>
        <w:t>）および</w:t>
      </w:r>
      <w:r w:rsidRPr="00E95B31">
        <w:rPr>
          <w:rFonts w:hint="eastAsia"/>
        </w:rPr>
        <w:t>SG5</w:t>
      </w:r>
      <w:r w:rsidRPr="00E95B31">
        <w:rPr>
          <w:rFonts w:hint="eastAsia"/>
        </w:rPr>
        <w:t>による</w:t>
      </w:r>
      <w:r w:rsidRPr="00E95B31">
        <w:rPr>
          <w:rFonts w:hint="eastAsia"/>
        </w:rPr>
        <w:t>ITU-R</w:t>
      </w:r>
      <w:r w:rsidRPr="00E95B31">
        <w:rPr>
          <w:rFonts w:hint="eastAsia"/>
        </w:rPr>
        <w:t>勧告</w:t>
      </w:r>
      <w:r w:rsidRPr="00E95B31">
        <w:rPr>
          <w:rFonts w:hint="eastAsia"/>
        </w:rPr>
        <w:t>M.1177-4</w:t>
      </w:r>
      <w:r w:rsidRPr="00E95B31">
        <w:rPr>
          <w:rFonts w:hint="eastAsia"/>
        </w:rPr>
        <w:t>（</w:t>
      </w:r>
      <w:r w:rsidR="00451C79" w:rsidRPr="00E95B31">
        <w:rPr>
          <w:rFonts w:hint="eastAsia"/>
        </w:rPr>
        <w:t>レーダーシステムの不要輻射の計測法（</w:t>
      </w:r>
      <w:r w:rsidRPr="00E95B31">
        <w:t>Techniques for measurement of unwanted emissions of radar systems</w:t>
      </w:r>
      <w:r w:rsidRPr="00E95B31">
        <w:rPr>
          <w:rFonts w:hint="eastAsia"/>
        </w:rPr>
        <w:t>）</w:t>
      </w:r>
      <w:r w:rsidR="00451C79" w:rsidRPr="00E95B31">
        <w:rPr>
          <w:rFonts w:hint="eastAsia"/>
        </w:rPr>
        <w:t>）</w:t>
      </w:r>
      <w:r w:rsidRPr="00E95B31">
        <w:rPr>
          <w:rFonts w:hint="eastAsia"/>
        </w:rPr>
        <w:t>について</w:t>
      </w:r>
      <w:r w:rsidRPr="00E95B31">
        <w:rPr>
          <w:rFonts w:hint="eastAsia"/>
        </w:rPr>
        <w:t>SG1</w:t>
      </w:r>
      <w:r w:rsidRPr="00E95B31">
        <w:rPr>
          <w:rFonts w:hint="eastAsia"/>
        </w:rPr>
        <w:t>の注意を喚起する文書</w:t>
      </w:r>
      <w:r w:rsidRPr="00E95B31">
        <w:rPr>
          <w:rFonts w:hint="eastAsia"/>
        </w:rPr>
        <w:t>2</w:t>
      </w:r>
      <w:r w:rsidRPr="00E95B31">
        <w:rPr>
          <w:rFonts w:hint="eastAsia"/>
        </w:rPr>
        <w:t>件（</w:t>
      </w:r>
      <w:r w:rsidRPr="00E95B31">
        <w:rPr>
          <w:rFonts w:hint="eastAsia"/>
        </w:rPr>
        <w:t>1/140, 1/144</w:t>
      </w:r>
      <w:r w:rsidRPr="00E95B31">
        <w:rPr>
          <w:rFonts w:hint="eastAsia"/>
        </w:rPr>
        <w:t>）</w:t>
      </w:r>
      <w:r w:rsidR="00451C79" w:rsidRPr="00E95B31">
        <w:rPr>
          <w:rFonts w:hint="eastAsia"/>
        </w:rPr>
        <w:t>が入力されたことが報告され、</w:t>
      </w:r>
      <w:r w:rsidRPr="00E95B31">
        <w:rPr>
          <w:rFonts w:hint="eastAsia"/>
        </w:rPr>
        <w:t>それぞれ</w:t>
      </w:r>
      <w:r w:rsidRPr="00E95B31">
        <w:rPr>
          <w:rFonts w:hint="eastAsia"/>
        </w:rPr>
        <w:t>WP1A</w:t>
      </w:r>
      <w:r w:rsidRPr="00E95B31">
        <w:rPr>
          <w:rFonts w:hint="eastAsia"/>
        </w:rPr>
        <w:t>、</w:t>
      </w:r>
      <w:r w:rsidRPr="00E95B31">
        <w:rPr>
          <w:rFonts w:hint="eastAsia"/>
        </w:rPr>
        <w:t>WP1C</w:t>
      </w:r>
      <w:r w:rsidRPr="00E95B31">
        <w:rPr>
          <w:rFonts w:hint="eastAsia"/>
        </w:rPr>
        <w:t>にて考慮されている点が議長より報告された。</w:t>
      </w:r>
    </w:p>
    <w:p w:rsidR="00F769A2" w:rsidRPr="00B506D2" w:rsidRDefault="00F769A2" w:rsidP="006B3D8A">
      <w:pPr>
        <w:pStyle w:val="Style205pt11pt"/>
        <w:ind w:firstLine="281"/>
      </w:pPr>
      <w:r w:rsidRPr="00B506D2">
        <w:rPr>
          <w:rFonts w:hint="eastAsia"/>
        </w:rPr>
        <w:t>6.4</w:t>
      </w:r>
      <w:r w:rsidRPr="00B506D2">
        <w:rPr>
          <w:rFonts w:hint="eastAsia"/>
        </w:rPr>
        <w:t xml:space="preserve">　決議案</w:t>
      </w:r>
    </w:p>
    <w:p w:rsidR="00F769A2" w:rsidRPr="00DC5130" w:rsidRDefault="00F769A2" w:rsidP="00F52CF5">
      <w:pPr>
        <w:pStyle w:val="a5"/>
      </w:pPr>
      <w:r w:rsidRPr="00DC5130">
        <w:t>入力文書</w:t>
      </w:r>
      <w:r w:rsidRPr="00DC5130">
        <w:t xml:space="preserve">  </w:t>
      </w:r>
      <w:r w:rsidRPr="00DC5130">
        <w:rPr>
          <w:rFonts w:hint="eastAsia"/>
        </w:rPr>
        <w:t>Doc.1/148, 163, 175</w:t>
      </w:r>
    </w:p>
    <w:p w:rsidR="00DC5130" w:rsidRPr="00E95B31" w:rsidRDefault="00DC5130" w:rsidP="00E95B31">
      <w:r w:rsidRPr="00E95B31">
        <w:rPr>
          <w:rFonts w:hint="eastAsia"/>
        </w:rPr>
        <w:t>WP1B</w:t>
      </w:r>
      <w:r w:rsidRPr="00E95B31">
        <w:rPr>
          <w:rFonts w:hint="eastAsia"/>
        </w:rPr>
        <w:t>で結論が出ずに</w:t>
      </w:r>
      <w:r w:rsidRPr="00E95B31">
        <w:rPr>
          <w:rFonts w:hint="eastAsia"/>
        </w:rPr>
        <w:t>SG1</w:t>
      </w:r>
      <w:r w:rsidRPr="00E95B31">
        <w:rPr>
          <w:rFonts w:hint="eastAsia"/>
        </w:rPr>
        <w:t>に上程された</w:t>
      </w:r>
      <w:r w:rsidRPr="00E95B31">
        <w:rPr>
          <w:rFonts w:hint="eastAsia"/>
        </w:rPr>
        <w:t>CRS</w:t>
      </w:r>
      <w:r w:rsidRPr="00E95B31">
        <w:rPr>
          <w:rFonts w:hint="eastAsia"/>
        </w:rPr>
        <w:t>に関する暫定新決議案</w:t>
      </w:r>
      <w:r w:rsidR="00AD7249" w:rsidRPr="00E95B31">
        <w:rPr>
          <w:rFonts w:hint="eastAsia"/>
        </w:rPr>
        <w:t>（</w:t>
      </w:r>
      <w:r w:rsidR="00AD7249" w:rsidRPr="00E95B31">
        <w:rPr>
          <w:rFonts w:hint="eastAsia"/>
        </w:rPr>
        <w:t>1/175</w:t>
      </w:r>
      <w:r w:rsidR="00AD7249" w:rsidRPr="00E95B31">
        <w:rPr>
          <w:rFonts w:hint="eastAsia"/>
        </w:rPr>
        <w:t>）と、これに関するロシアからの入力文書（</w:t>
      </w:r>
      <w:r w:rsidR="00AD7249" w:rsidRPr="00E95B31">
        <w:rPr>
          <w:rFonts w:hint="eastAsia"/>
        </w:rPr>
        <w:t>1/148</w:t>
      </w:r>
      <w:r w:rsidR="00AD7249" w:rsidRPr="00E95B31">
        <w:rPr>
          <w:rFonts w:hint="eastAsia"/>
        </w:rPr>
        <w:t>）については議論が紛糾した。これまでの審議経緯を</w:t>
      </w:r>
      <w:r w:rsidR="00AD7249" w:rsidRPr="00E95B31">
        <w:rPr>
          <w:rFonts w:hint="eastAsia"/>
        </w:rPr>
        <w:t>WP1B</w:t>
      </w:r>
      <w:r w:rsidR="00AD7249" w:rsidRPr="00E95B31">
        <w:rPr>
          <w:rFonts w:hint="eastAsia"/>
        </w:rPr>
        <w:t>議長が説明し、以下の</w:t>
      </w:r>
      <w:r w:rsidR="00AD7249" w:rsidRPr="00E95B31">
        <w:rPr>
          <w:rFonts w:hint="eastAsia"/>
        </w:rPr>
        <w:t>3</w:t>
      </w:r>
      <w:r w:rsidR="00AD7249" w:rsidRPr="00E95B31">
        <w:rPr>
          <w:rFonts w:hint="eastAsia"/>
        </w:rPr>
        <w:t>つの案が検討されていることが報告された。</w:t>
      </w:r>
      <w:r w:rsidRPr="00E95B31">
        <w:rPr>
          <w:rFonts w:hint="eastAsia"/>
        </w:rPr>
        <w:t>括弧内は主な支持国とその理由。</w:t>
      </w:r>
    </w:p>
    <w:p w:rsidR="00E07C3F" w:rsidRDefault="00E07C3F" w:rsidP="00D162A2">
      <w:pPr>
        <w:pStyle w:val="a"/>
      </w:pPr>
      <w:r>
        <w:rPr>
          <w:rFonts w:hint="eastAsia"/>
        </w:rPr>
        <w:t>案</w:t>
      </w:r>
      <w:r>
        <w:rPr>
          <w:rFonts w:hint="eastAsia"/>
        </w:rPr>
        <w:t>1</w:t>
      </w:r>
      <w:r>
        <w:rPr>
          <w:rFonts w:hint="eastAsia"/>
        </w:rPr>
        <w:t>：　決議案として</w:t>
      </w:r>
      <w:r>
        <w:rPr>
          <w:rFonts w:hint="eastAsia"/>
        </w:rPr>
        <w:t>RA</w:t>
      </w:r>
      <w:r>
        <w:rPr>
          <w:rFonts w:hint="eastAsia"/>
        </w:rPr>
        <w:t>に提出する。（</w:t>
      </w:r>
      <w:r>
        <w:rPr>
          <w:rFonts w:hint="eastAsia"/>
        </w:rPr>
        <w:t>CEPT</w:t>
      </w:r>
      <w:r>
        <w:rPr>
          <w:rFonts w:hint="eastAsia"/>
        </w:rPr>
        <w:t>諸国およびカナダ：課題となると実際の研究はある特定の</w:t>
      </w:r>
      <w:r>
        <w:rPr>
          <w:rFonts w:hint="eastAsia"/>
        </w:rPr>
        <w:t>WP</w:t>
      </w:r>
      <w:r>
        <w:rPr>
          <w:rFonts w:hint="eastAsia"/>
        </w:rPr>
        <w:t>に割り当てられてしまうため、複数の</w:t>
      </w:r>
      <w:r>
        <w:rPr>
          <w:rFonts w:hint="eastAsia"/>
        </w:rPr>
        <w:t>SG</w:t>
      </w:r>
      <w:r>
        <w:rPr>
          <w:rFonts w:hint="eastAsia"/>
        </w:rPr>
        <w:t>が共通して取り組む重要事項として</w:t>
      </w:r>
      <w:r w:rsidR="00AD7249">
        <w:rPr>
          <w:rFonts w:hint="eastAsia"/>
        </w:rPr>
        <w:t>位置づけられるよう</w:t>
      </w:r>
      <w:r>
        <w:rPr>
          <w:rFonts w:hint="eastAsia"/>
        </w:rPr>
        <w:t>決議にする</w:t>
      </w:r>
      <w:r w:rsidR="00AD7249">
        <w:rPr>
          <w:rFonts w:hint="eastAsia"/>
        </w:rPr>
        <w:t>必要が</w:t>
      </w:r>
      <w:r>
        <w:rPr>
          <w:rFonts w:hint="eastAsia"/>
        </w:rPr>
        <w:t>ある）</w:t>
      </w:r>
    </w:p>
    <w:p w:rsidR="000058A5" w:rsidRPr="00D162A2" w:rsidRDefault="000058A5" w:rsidP="000058A5">
      <w:pPr>
        <w:pStyle w:val="a"/>
        <w:numPr>
          <w:ilvl w:val="0"/>
          <w:numId w:val="0"/>
        </w:numPr>
      </w:pPr>
    </w:p>
    <w:p w:rsidR="00E07C3F" w:rsidRDefault="00DC5130" w:rsidP="00D162A2">
      <w:pPr>
        <w:pStyle w:val="a"/>
      </w:pPr>
      <w:r>
        <w:rPr>
          <w:rFonts w:hint="eastAsia"/>
        </w:rPr>
        <w:t>案</w:t>
      </w:r>
      <w:r w:rsidR="00E07C3F">
        <w:rPr>
          <w:rFonts w:hint="eastAsia"/>
        </w:rPr>
        <w:t>2</w:t>
      </w:r>
      <w:r>
        <w:rPr>
          <w:rFonts w:hint="eastAsia"/>
        </w:rPr>
        <w:t>：　本文書を決議ではなく「課題」とする。（ロシア：</w:t>
      </w:r>
      <w:r>
        <w:rPr>
          <w:rFonts w:hint="eastAsia"/>
        </w:rPr>
        <w:t>WRC</w:t>
      </w:r>
      <w:r>
        <w:rPr>
          <w:rFonts w:hint="eastAsia"/>
        </w:rPr>
        <w:t>の前に開催される</w:t>
      </w:r>
      <w:r>
        <w:rPr>
          <w:rFonts w:hint="eastAsia"/>
        </w:rPr>
        <w:t>RA</w:t>
      </w:r>
      <w:r>
        <w:rPr>
          <w:rFonts w:hint="eastAsia"/>
        </w:rPr>
        <w:t>で議題</w:t>
      </w:r>
      <w:r>
        <w:rPr>
          <w:rFonts w:hint="eastAsia"/>
        </w:rPr>
        <w:t>1.19</w:t>
      </w:r>
      <w:r>
        <w:rPr>
          <w:rFonts w:hint="eastAsia"/>
        </w:rPr>
        <w:t>の</w:t>
      </w:r>
      <w:r>
        <w:rPr>
          <w:rFonts w:hint="eastAsia"/>
        </w:rPr>
        <w:t>Method</w:t>
      </w:r>
      <w:r>
        <w:rPr>
          <w:rFonts w:hint="eastAsia"/>
        </w:rPr>
        <w:t>の選択肢のひとつにすぎない案について決議を先に作成しておく、ということは</w:t>
      </w:r>
      <w:r>
        <w:rPr>
          <w:rFonts w:hint="eastAsia"/>
        </w:rPr>
        <w:t>WRC</w:t>
      </w:r>
      <w:r>
        <w:rPr>
          <w:rFonts w:hint="eastAsia"/>
        </w:rPr>
        <w:t>での審議を“</w:t>
      </w:r>
      <w:r>
        <w:rPr>
          <w:rFonts w:hint="eastAsia"/>
        </w:rPr>
        <w:t>Pre-Judge</w:t>
      </w:r>
      <w:r>
        <w:rPr>
          <w:rFonts w:hint="eastAsia"/>
        </w:rPr>
        <w:t>”することになるため不適切）</w:t>
      </w:r>
    </w:p>
    <w:p w:rsidR="000058A5" w:rsidRPr="00D162A2" w:rsidRDefault="000058A5" w:rsidP="000058A5">
      <w:pPr>
        <w:pStyle w:val="a"/>
        <w:numPr>
          <w:ilvl w:val="0"/>
          <w:numId w:val="0"/>
        </w:numPr>
      </w:pPr>
    </w:p>
    <w:p w:rsidR="000058A5" w:rsidRDefault="00DC5130" w:rsidP="000058A5">
      <w:pPr>
        <w:pStyle w:val="a"/>
      </w:pPr>
      <w:r>
        <w:rPr>
          <w:rFonts w:hint="eastAsia"/>
        </w:rPr>
        <w:t>案</w:t>
      </w:r>
      <w:r>
        <w:rPr>
          <w:rFonts w:hint="eastAsia"/>
        </w:rPr>
        <w:t>3</w:t>
      </w:r>
      <w:r>
        <w:rPr>
          <w:rFonts w:hint="eastAsia"/>
        </w:rPr>
        <w:t xml:space="preserve">：　</w:t>
      </w:r>
      <w:r>
        <w:rPr>
          <w:rFonts w:hint="eastAsia"/>
        </w:rPr>
        <w:t>SG1</w:t>
      </w:r>
      <w:r>
        <w:rPr>
          <w:rFonts w:hint="eastAsia"/>
        </w:rPr>
        <w:t>としてはアクションはとらず、決議作成を求める各主管庁が直接</w:t>
      </w:r>
      <w:r>
        <w:rPr>
          <w:rFonts w:hint="eastAsia"/>
        </w:rPr>
        <w:t>RA</w:t>
      </w:r>
      <w:r>
        <w:rPr>
          <w:rFonts w:hint="eastAsia"/>
        </w:rPr>
        <w:t>に入力する。（米国、バチカン</w:t>
      </w:r>
      <w:r w:rsidR="00E07C3F">
        <w:rPr>
          <w:rFonts w:hint="eastAsia"/>
        </w:rPr>
        <w:t>：決議に反対する理由は、上記ロシアと同様。基本的には</w:t>
      </w:r>
      <w:r w:rsidR="00E07C3F">
        <w:rPr>
          <w:rFonts w:hint="eastAsia"/>
        </w:rPr>
        <w:t>RA</w:t>
      </w:r>
      <w:r w:rsidR="00E07C3F">
        <w:rPr>
          <w:rFonts w:hint="eastAsia"/>
        </w:rPr>
        <w:t>に主管庁が直接入力すべきと考えるが、ロシアによる代わりに「課題」を作る、という案には反対するものではない。</w:t>
      </w:r>
      <w:r>
        <w:rPr>
          <w:rFonts w:hint="eastAsia"/>
        </w:rPr>
        <w:t>）</w:t>
      </w:r>
    </w:p>
    <w:p w:rsidR="000058A5" w:rsidRDefault="000058A5" w:rsidP="000058A5">
      <w:pPr>
        <w:pStyle w:val="a"/>
        <w:numPr>
          <w:ilvl w:val="0"/>
          <w:numId w:val="0"/>
        </w:numPr>
      </w:pPr>
    </w:p>
    <w:p w:rsidR="00DC5130" w:rsidRPr="00E95B31" w:rsidRDefault="00E07C3F" w:rsidP="00E95B31">
      <w:r w:rsidRPr="00E95B31">
        <w:rPr>
          <w:rFonts w:hint="eastAsia"/>
        </w:rPr>
        <w:t>案</w:t>
      </w:r>
      <w:r w:rsidRPr="00E95B31">
        <w:rPr>
          <w:rFonts w:hint="eastAsia"/>
        </w:rPr>
        <w:t>2</w:t>
      </w:r>
      <w:r w:rsidRPr="00E95B31">
        <w:rPr>
          <w:rFonts w:hint="eastAsia"/>
        </w:rPr>
        <w:t>、案</w:t>
      </w:r>
      <w:r w:rsidRPr="00E95B31">
        <w:rPr>
          <w:rFonts w:hint="eastAsia"/>
        </w:rPr>
        <w:t>3</w:t>
      </w:r>
      <w:r w:rsidR="00AD7249" w:rsidRPr="00E95B31">
        <w:rPr>
          <w:rFonts w:hint="eastAsia"/>
        </w:rPr>
        <w:t>への明確な支持を示さなかったものの、上記のほかにも</w:t>
      </w:r>
      <w:r w:rsidRPr="00E95B31">
        <w:rPr>
          <w:rFonts w:hint="eastAsia"/>
        </w:rPr>
        <w:t>イラン、</w:t>
      </w:r>
      <w:r w:rsidRPr="00E95B31">
        <w:rPr>
          <w:rFonts w:hint="eastAsia"/>
        </w:rPr>
        <w:t>IUCAF</w:t>
      </w:r>
      <w:r w:rsidRPr="00E95B31">
        <w:rPr>
          <w:rFonts w:hint="eastAsia"/>
        </w:rPr>
        <w:t>、</w:t>
      </w:r>
      <w:r w:rsidRPr="00E95B31">
        <w:rPr>
          <w:rFonts w:hint="eastAsia"/>
        </w:rPr>
        <w:t>NABA</w:t>
      </w:r>
      <w:r w:rsidRPr="00E95B31">
        <w:rPr>
          <w:rFonts w:hint="eastAsia"/>
        </w:rPr>
        <w:t>が決議とすることに反対した。</w:t>
      </w:r>
    </w:p>
    <w:p w:rsidR="00E07C3F" w:rsidRPr="00E95B31" w:rsidRDefault="00F335EF" w:rsidP="00E95B31">
      <w:r w:rsidRPr="00E95B31">
        <w:rPr>
          <w:rFonts w:hint="eastAsia"/>
        </w:rPr>
        <w:t>このように決議とすることに反対する意見が多かったため、</w:t>
      </w:r>
      <w:r w:rsidR="00AD7249" w:rsidRPr="00E95B31">
        <w:rPr>
          <w:rFonts w:hint="eastAsia"/>
        </w:rPr>
        <w:t>議論の結果、</w:t>
      </w:r>
      <w:r w:rsidRPr="00E95B31">
        <w:rPr>
          <w:rFonts w:hint="eastAsia"/>
        </w:rPr>
        <w:t>案</w:t>
      </w:r>
      <w:r w:rsidRPr="00E95B31">
        <w:rPr>
          <w:rFonts w:hint="eastAsia"/>
        </w:rPr>
        <w:t>1</w:t>
      </w:r>
      <w:r w:rsidRPr="00E95B31">
        <w:rPr>
          <w:rFonts w:hint="eastAsia"/>
        </w:rPr>
        <w:t>は否決された。一方、「課題」とするロシアの意見</w:t>
      </w:r>
      <w:r w:rsidR="00D162A2" w:rsidRPr="00E95B31">
        <w:rPr>
          <w:rFonts w:hint="eastAsia"/>
        </w:rPr>
        <w:t>（案</w:t>
      </w:r>
      <w:r w:rsidR="00D162A2" w:rsidRPr="00E95B31">
        <w:rPr>
          <w:rFonts w:hint="eastAsia"/>
        </w:rPr>
        <w:t>2</w:t>
      </w:r>
      <w:r w:rsidR="00D162A2" w:rsidRPr="00E95B31">
        <w:rPr>
          <w:rFonts w:hint="eastAsia"/>
        </w:rPr>
        <w:t>）</w:t>
      </w:r>
      <w:r w:rsidRPr="00E95B31">
        <w:rPr>
          <w:rFonts w:hint="eastAsia"/>
        </w:rPr>
        <w:t>には上述の通り、一部に支持する主管庁もあったが、議長より本会合中に審議対象と</w:t>
      </w:r>
      <w:r w:rsidR="00D162A2" w:rsidRPr="00E95B31">
        <w:rPr>
          <w:rFonts w:hint="eastAsia"/>
        </w:rPr>
        <w:t>できる</w:t>
      </w:r>
      <w:r w:rsidRPr="00E95B31">
        <w:rPr>
          <w:rFonts w:hint="eastAsia"/>
        </w:rPr>
        <w:t>具体的な課題のテキスト案がないため、</w:t>
      </w:r>
      <w:r w:rsidR="00D162A2" w:rsidRPr="00E95B31">
        <w:rPr>
          <w:rFonts w:hint="eastAsia"/>
        </w:rPr>
        <w:t>現実的には</w:t>
      </w:r>
      <w:r w:rsidR="00AD7249" w:rsidRPr="00E95B31">
        <w:rPr>
          <w:rFonts w:hint="eastAsia"/>
        </w:rPr>
        <w:t>本会合中での</w:t>
      </w:r>
      <w:r w:rsidR="00D162A2" w:rsidRPr="00E95B31">
        <w:rPr>
          <w:rFonts w:hint="eastAsia"/>
        </w:rPr>
        <w:t>対応</w:t>
      </w:r>
      <w:r w:rsidR="00AD7249" w:rsidRPr="00E95B31">
        <w:rPr>
          <w:rFonts w:hint="eastAsia"/>
        </w:rPr>
        <w:t>は</w:t>
      </w:r>
      <w:r w:rsidR="00D162A2" w:rsidRPr="00E95B31">
        <w:rPr>
          <w:rFonts w:hint="eastAsia"/>
        </w:rPr>
        <w:t>不可能とされた。その後のオフライン審議も経て、最終的には、以下の対応で合意された。</w:t>
      </w:r>
    </w:p>
    <w:p w:rsidR="00D162A2" w:rsidRDefault="00AD7249" w:rsidP="00AD7249">
      <w:pPr>
        <w:pStyle w:val="a"/>
      </w:pPr>
      <w:r>
        <w:rPr>
          <w:rFonts w:hint="eastAsia"/>
        </w:rPr>
        <w:t>SG1</w:t>
      </w:r>
      <w:r>
        <w:rPr>
          <w:rFonts w:hint="eastAsia"/>
        </w:rPr>
        <w:t>議長が</w:t>
      </w:r>
      <w:r>
        <w:rPr>
          <w:rFonts w:hint="eastAsia"/>
        </w:rPr>
        <w:t>RA</w:t>
      </w:r>
      <w:r>
        <w:rPr>
          <w:rFonts w:hint="eastAsia"/>
        </w:rPr>
        <w:t>に送る文書のうちの</w:t>
      </w:r>
      <w:r>
        <w:rPr>
          <w:rFonts w:hint="eastAsia"/>
        </w:rPr>
        <w:t>SG1</w:t>
      </w:r>
      <w:r>
        <w:rPr>
          <w:rFonts w:hint="eastAsia"/>
        </w:rPr>
        <w:t>議長から</w:t>
      </w:r>
      <w:r>
        <w:rPr>
          <w:rFonts w:hint="eastAsia"/>
        </w:rPr>
        <w:t>RA</w:t>
      </w:r>
      <w:r>
        <w:rPr>
          <w:rFonts w:hint="eastAsia"/>
        </w:rPr>
        <w:t>への報告文書である文書</w:t>
      </w:r>
      <w:r>
        <w:rPr>
          <w:rFonts w:hint="eastAsia"/>
        </w:rPr>
        <w:t>1001</w:t>
      </w:r>
      <w:r>
        <w:rPr>
          <w:rFonts w:hint="eastAsia"/>
        </w:rPr>
        <w:t>（議長報告）に本決議案に関するこれまでの審議内容・経緯の要旨を記載。</w:t>
      </w:r>
    </w:p>
    <w:p w:rsidR="000058A5" w:rsidRDefault="000058A5" w:rsidP="000058A5">
      <w:pPr>
        <w:pStyle w:val="a"/>
        <w:numPr>
          <w:ilvl w:val="0"/>
          <w:numId w:val="0"/>
        </w:numPr>
      </w:pPr>
    </w:p>
    <w:p w:rsidR="00AD7249" w:rsidRDefault="00AD7249" w:rsidP="00AD7249">
      <w:pPr>
        <w:pStyle w:val="a"/>
      </w:pPr>
      <w:r>
        <w:rPr>
          <w:rFonts w:hint="eastAsia"/>
        </w:rPr>
        <w:t>こ</w:t>
      </w:r>
      <w:r w:rsidR="00305F94">
        <w:rPr>
          <w:rFonts w:hint="eastAsia"/>
        </w:rPr>
        <w:t>の文書に</w:t>
      </w:r>
      <w:r>
        <w:rPr>
          <w:rFonts w:hint="eastAsia"/>
        </w:rPr>
        <w:t>ANNEX</w:t>
      </w:r>
      <w:r>
        <w:rPr>
          <w:rFonts w:hint="eastAsia"/>
        </w:rPr>
        <w:t>を添付することとし、</w:t>
      </w:r>
      <w:r>
        <w:rPr>
          <w:rFonts w:hint="eastAsia"/>
        </w:rPr>
        <w:t>1/175</w:t>
      </w:r>
      <w:r w:rsidR="00305F94">
        <w:rPr>
          <w:rFonts w:hint="eastAsia"/>
        </w:rPr>
        <w:t>にある決議案のテキストを記載。</w:t>
      </w:r>
      <w:r w:rsidR="0028386A">
        <w:rPr>
          <w:rFonts w:hint="eastAsia"/>
        </w:rPr>
        <w:t>ただし、その際、この決議案が</w:t>
      </w:r>
      <w:r w:rsidR="0028386A">
        <w:rPr>
          <w:rFonts w:hint="eastAsia"/>
        </w:rPr>
        <w:t>SG1</w:t>
      </w:r>
      <w:r w:rsidR="0028386A">
        <w:rPr>
          <w:rFonts w:hint="eastAsia"/>
        </w:rPr>
        <w:t>で合意された内容ではない点を議長報告本文に明記。</w:t>
      </w:r>
    </w:p>
    <w:p w:rsidR="000058A5" w:rsidRDefault="000058A5" w:rsidP="000058A5">
      <w:pPr>
        <w:pStyle w:val="a"/>
        <w:numPr>
          <w:ilvl w:val="0"/>
          <w:numId w:val="0"/>
        </w:numPr>
      </w:pPr>
    </w:p>
    <w:p w:rsidR="00D115B7" w:rsidRDefault="00305F94" w:rsidP="00305F94">
      <w:pPr>
        <w:pStyle w:val="a"/>
      </w:pPr>
      <w:r>
        <w:rPr>
          <w:rFonts w:hint="eastAsia"/>
        </w:rPr>
        <w:t>WP1B</w:t>
      </w:r>
      <w:r>
        <w:rPr>
          <w:rFonts w:hint="eastAsia"/>
        </w:rPr>
        <w:t>での審議において結論が出なかったため、</w:t>
      </w:r>
      <w:r w:rsidR="0028386A">
        <w:rPr>
          <w:rFonts w:hint="eastAsia"/>
        </w:rPr>
        <w:t>以下の</w:t>
      </w:r>
      <w:r>
        <w:rPr>
          <w:rFonts w:hint="eastAsia"/>
        </w:rPr>
        <w:t>テキスト</w:t>
      </w:r>
      <w:r w:rsidR="00FC35BC">
        <w:rPr>
          <w:rStyle w:val="ad"/>
        </w:rPr>
        <w:footnoteReference w:id="3"/>
      </w:r>
      <w:r>
        <w:rPr>
          <w:rFonts w:hint="eastAsia"/>
        </w:rPr>
        <w:t>が角括弧付で</w:t>
      </w:r>
      <w:r w:rsidR="000058A5">
        <w:rPr>
          <w:rFonts w:hint="eastAsia"/>
        </w:rPr>
        <w:t>残されていたが、これを文書</w:t>
      </w:r>
      <w:r w:rsidR="000058A5">
        <w:rPr>
          <w:rFonts w:hint="eastAsia"/>
        </w:rPr>
        <w:t>1001</w:t>
      </w:r>
      <w:r w:rsidR="000058A5">
        <w:rPr>
          <w:rFonts w:hint="eastAsia"/>
        </w:rPr>
        <w:t>に添付される</w:t>
      </w:r>
      <w:r w:rsidR="000058A5">
        <w:rPr>
          <w:rFonts w:hint="eastAsia"/>
        </w:rPr>
        <w:t>ANNEX</w:t>
      </w:r>
      <w:r w:rsidR="000058A5">
        <w:rPr>
          <w:rFonts w:hint="eastAsia"/>
        </w:rPr>
        <w:t>の主題</w:t>
      </w:r>
      <w:r>
        <w:rPr>
          <w:rFonts w:hint="eastAsia"/>
        </w:rPr>
        <w:t>の後ろに</w:t>
      </w:r>
      <w:r w:rsidR="00FC35BC">
        <w:rPr>
          <w:rFonts w:hint="eastAsia"/>
        </w:rPr>
        <w:t>アスタリスクを挿入して、但し書きとして記載する。</w:t>
      </w:r>
    </w:p>
    <w:p w:rsidR="00D115B7" w:rsidRPr="007328CF" w:rsidRDefault="00FC35BC" w:rsidP="007328CF">
      <w:pPr>
        <w:pStyle w:val="a"/>
        <w:numPr>
          <w:ilvl w:val="0"/>
          <w:numId w:val="7"/>
        </w:numPr>
        <w:ind w:firstLine="180"/>
      </w:pPr>
      <w:r>
        <w:rPr>
          <w:rFonts w:hint="eastAsia"/>
        </w:rPr>
        <w:t>決議</w:t>
      </w:r>
      <w:r>
        <w:rPr>
          <w:rFonts w:hint="eastAsia"/>
        </w:rPr>
        <w:t>956</w:t>
      </w:r>
      <w:r>
        <w:rPr>
          <w:rFonts w:hint="eastAsia"/>
        </w:rPr>
        <w:t>は</w:t>
      </w:r>
      <w:r>
        <w:rPr>
          <w:rFonts w:hint="eastAsia"/>
        </w:rPr>
        <w:t>ITU-R</w:t>
      </w:r>
      <w:r>
        <w:rPr>
          <w:rFonts w:hint="eastAsia"/>
        </w:rPr>
        <w:t>が</w:t>
      </w:r>
      <w:r>
        <w:rPr>
          <w:rFonts w:hint="eastAsia"/>
        </w:rPr>
        <w:t>CRS</w:t>
      </w:r>
      <w:r>
        <w:rPr>
          <w:rFonts w:hint="eastAsia"/>
        </w:rPr>
        <w:t>に規制が必要であるかを研究することを求めている。</w:t>
      </w:r>
    </w:p>
    <w:p w:rsidR="00D115B7" w:rsidRPr="007328CF" w:rsidRDefault="00FC35BC" w:rsidP="007328CF">
      <w:pPr>
        <w:pStyle w:val="a"/>
        <w:numPr>
          <w:ilvl w:val="0"/>
          <w:numId w:val="7"/>
        </w:numPr>
        <w:ind w:firstLine="180"/>
      </w:pPr>
      <w:r>
        <w:rPr>
          <w:rFonts w:hint="eastAsia"/>
        </w:rPr>
        <w:t>CRS</w:t>
      </w:r>
      <w:r>
        <w:rPr>
          <w:rFonts w:hint="eastAsia"/>
        </w:rPr>
        <w:t>は</w:t>
      </w:r>
      <w:r>
        <w:rPr>
          <w:rFonts w:hint="eastAsia"/>
        </w:rPr>
        <w:t>WRC-12</w:t>
      </w:r>
      <w:r>
        <w:rPr>
          <w:rFonts w:hint="eastAsia"/>
        </w:rPr>
        <w:t>の議題</w:t>
      </w:r>
      <w:r>
        <w:rPr>
          <w:rFonts w:hint="eastAsia"/>
        </w:rPr>
        <w:t>1.19</w:t>
      </w:r>
      <w:r>
        <w:rPr>
          <w:rFonts w:hint="eastAsia"/>
        </w:rPr>
        <w:t>である。</w:t>
      </w:r>
    </w:p>
    <w:p w:rsidR="00D115B7" w:rsidRPr="007328CF" w:rsidRDefault="00FC35BC" w:rsidP="007328CF">
      <w:pPr>
        <w:pStyle w:val="a"/>
        <w:numPr>
          <w:ilvl w:val="0"/>
          <w:numId w:val="7"/>
        </w:numPr>
        <w:ind w:firstLine="180"/>
      </w:pPr>
      <w:r>
        <w:rPr>
          <w:rFonts w:hint="eastAsia"/>
        </w:rPr>
        <w:t>CRS</w:t>
      </w:r>
      <w:r>
        <w:rPr>
          <w:rFonts w:hint="eastAsia"/>
        </w:rPr>
        <w:t>についての規制検討は</w:t>
      </w:r>
      <w:r>
        <w:rPr>
          <w:rFonts w:hint="eastAsia"/>
        </w:rPr>
        <w:t>ITU-R</w:t>
      </w:r>
      <w:r>
        <w:rPr>
          <w:rFonts w:hint="eastAsia"/>
        </w:rPr>
        <w:t>決議のスコープ外である。</w:t>
      </w:r>
    </w:p>
    <w:p w:rsidR="00D115B7" w:rsidRDefault="00FC35BC" w:rsidP="007328CF">
      <w:pPr>
        <w:pStyle w:val="a"/>
        <w:numPr>
          <w:ilvl w:val="0"/>
          <w:numId w:val="7"/>
        </w:numPr>
        <w:ind w:firstLine="180"/>
      </w:pPr>
      <w:r>
        <w:rPr>
          <w:rFonts w:hint="eastAsia"/>
        </w:rPr>
        <w:t>本決議案は</w:t>
      </w:r>
      <w:r>
        <w:rPr>
          <w:rFonts w:hint="eastAsia"/>
        </w:rPr>
        <w:t>CPM</w:t>
      </w:r>
      <w:r w:rsidR="000058A5">
        <w:rPr>
          <w:rFonts w:hint="eastAsia"/>
        </w:rPr>
        <w:t>報告書内にあるひとつのオプションに呼応したものである。</w:t>
      </w:r>
    </w:p>
    <w:p w:rsidR="007328CF" w:rsidRPr="007328CF" w:rsidRDefault="007328CF" w:rsidP="007328CF">
      <w:pPr>
        <w:pStyle w:val="a"/>
        <w:numPr>
          <w:ilvl w:val="0"/>
          <w:numId w:val="0"/>
        </w:numPr>
        <w:ind w:left="360" w:hanging="360"/>
      </w:pPr>
    </w:p>
    <w:p w:rsidR="000058A5" w:rsidRDefault="00AD7249" w:rsidP="000058A5">
      <w:pPr>
        <w:pStyle w:val="a"/>
      </w:pPr>
      <w:r>
        <w:rPr>
          <w:rFonts w:hint="eastAsia"/>
        </w:rPr>
        <w:t>この</w:t>
      </w:r>
      <w:r>
        <w:rPr>
          <w:rFonts w:hint="eastAsia"/>
        </w:rPr>
        <w:t>ANNEX</w:t>
      </w:r>
      <w:r>
        <w:rPr>
          <w:rFonts w:hint="eastAsia"/>
        </w:rPr>
        <w:t>の内容を参考にしながら、決議案を支持する主管庁はこれをそのまま、あるいは修正して、</w:t>
      </w:r>
      <w:r>
        <w:rPr>
          <w:rFonts w:hint="eastAsia"/>
        </w:rPr>
        <w:t>RA</w:t>
      </w:r>
      <w:r>
        <w:rPr>
          <w:rFonts w:hint="eastAsia"/>
        </w:rPr>
        <w:t>に独自に入力すればよい。</w:t>
      </w:r>
    </w:p>
    <w:p w:rsidR="000058A5" w:rsidRDefault="000058A5" w:rsidP="000058A5">
      <w:pPr>
        <w:pStyle w:val="a"/>
        <w:numPr>
          <w:ilvl w:val="0"/>
          <w:numId w:val="0"/>
        </w:numPr>
      </w:pPr>
    </w:p>
    <w:p w:rsidR="004D178D" w:rsidRPr="00E95B31" w:rsidRDefault="00E07C3F" w:rsidP="000058A5">
      <w:r w:rsidRPr="00E95B31">
        <w:rPr>
          <w:rFonts w:hint="eastAsia"/>
        </w:rPr>
        <w:t>一方、</w:t>
      </w:r>
      <w:r w:rsidRPr="00E95B31">
        <w:rPr>
          <w:rFonts w:hint="eastAsia"/>
        </w:rPr>
        <w:t>WP1C</w:t>
      </w:r>
      <w:r w:rsidRPr="00E95B31">
        <w:rPr>
          <w:rFonts w:hint="eastAsia"/>
        </w:rPr>
        <w:t>から上程された</w:t>
      </w:r>
      <w:r w:rsidR="00DC5130" w:rsidRPr="00E95B31">
        <w:rPr>
          <w:rFonts w:hint="eastAsia"/>
        </w:rPr>
        <w:t>決議</w:t>
      </w:r>
      <w:r w:rsidR="00DC5130" w:rsidRPr="00E95B31">
        <w:rPr>
          <w:rFonts w:hint="eastAsia"/>
        </w:rPr>
        <w:t>ITU-R</w:t>
      </w:r>
      <w:r w:rsidR="00DC5130" w:rsidRPr="00E95B31">
        <w:rPr>
          <w:rFonts w:hint="eastAsia"/>
        </w:rPr>
        <w:t xml:space="preserve">　</w:t>
      </w:r>
      <w:r w:rsidR="00DC5130" w:rsidRPr="00E95B31">
        <w:rPr>
          <w:rFonts w:hint="eastAsia"/>
        </w:rPr>
        <w:t>23-1</w:t>
      </w:r>
      <w:r w:rsidR="00DC5130" w:rsidRPr="00E95B31">
        <w:rPr>
          <w:rFonts w:hint="eastAsia"/>
        </w:rPr>
        <w:t>（</w:t>
      </w:r>
      <w:r w:rsidR="004D178D" w:rsidRPr="00E95B31">
        <w:rPr>
          <w:rFonts w:hint="eastAsia"/>
        </w:rPr>
        <w:t>国際無線監視</w:t>
      </w:r>
      <w:r w:rsidR="00DC5130" w:rsidRPr="00E95B31">
        <w:rPr>
          <w:rFonts w:hint="eastAsia"/>
        </w:rPr>
        <w:t>システムの世界規模の普及）</w:t>
      </w:r>
      <w:r w:rsidR="004D178D" w:rsidRPr="00E95B31">
        <w:rPr>
          <w:rFonts w:hint="eastAsia"/>
        </w:rPr>
        <w:t>に関する</w:t>
      </w:r>
      <w:r w:rsidR="004D178D" w:rsidRPr="00E95B31">
        <w:rPr>
          <w:rFonts w:hint="eastAsia"/>
        </w:rPr>
        <w:t>1/163</w:t>
      </w:r>
      <w:r w:rsidR="004D178D" w:rsidRPr="00E95B31">
        <w:rPr>
          <w:rFonts w:hint="eastAsia"/>
        </w:rPr>
        <w:t>は特段の議論なく承認され、</w:t>
      </w:r>
      <w:r w:rsidR="004D178D" w:rsidRPr="00E95B31">
        <w:rPr>
          <w:rFonts w:hint="eastAsia"/>
        </w:rPr>
        <w:t>SG1</w:t>
      </w:r>
      <w:r w:rsidR="004D178D" w:rsidRPr="00E95B31">
        <w:rPr>
          <w:rFonts w:hint="eastAsia"/>
        </w:rPr>
        <w:t>議長から</w:t>
      </w:r>
      <w:r w:rsidR="004D178D" w:rsidRPr="00E95B31">
        <w:rPr>
          <w:rFonts w:hint="eastAsia"/>
        </w:rPr>
        <w:t>RA</w:t>
      </w:r>
      <w:r w:rsidR="004D178D" w:rsidRPr="00E95B31">
        <w:rPr>
          <w:rFonts w:hint="eastAsia"/>
        </w:rPr>
        <w:t>に送られる文書</w:t>
      </w:r>
      <w:r w:rsidR="004D178D" w:rsidRPr="00E95B31">
        <w:rPr>
          <w:rFonts w:hint="eastAsia"/>
        </w:rPr>
        <w:t>1004</w:t>
      </w:r>
      <w:r w:rsidR="004D178D" w:rsidRPr="00E95B31">
        <w:rPr>
          <w:rFonts w:hint="eastAsia"/>
        </w:rPr>
        <w:t>（決議に関する文書）の</w:t>
      </w:r>
      <w:r w:rsidR="004D178D" w:rsidRPr="00E95B31">
        <w:rPr>
          <w:rFonts w:hint="eastAsia"/>
        </w:rPr>
        <w:t>ANNEX</w:t>
      </w:r>
      <w:r w:rsidR="004D178D" w:rsidRPr="00E95B31">
        <w:rPr>
          <w:rFonts w:hint="eastAsia"/>
        </w:rPr>
        <w:t>として</w:t>
      </w:r>
      <w:r w:rsidR="00DC5130" w:rsidRPr="00E95B31">
        <w:rPr>
          <w:rFonts w:hint="eastAsia"/>
        </w:rPr>
        <w:t>発出さ</w:t>
      </w:r>
      <w:r w:rsidR="004D178D" w:rsidRPr="00E95B31">
        <w:rPr>
          <w:rFonts w:hint="eastAsia"/>
        </w:rPr>
        <w:t>れることになった。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00"/>
        <w:gridCol w:w="900"/>
        <w:gridCol w:w="5580"/>
        <w:gridCol w:w="1080"/>
      </w:tblGrid>
      <w:tr w:rsidR="00F769A2" w:rsidRPr="00B506D2" w:rsidTr="00DC5130">
        <w:tc>
          <w:tcPr>
            <w:tcW w:w="1188" w:type="dxa"/>
          </w:tcPr>
          <w:p w:rsidR="00F769A2" w:rsidRPr="00B506D2" w:rsidRDefault="00F769A2" w:rsidP="000058A5">
            <w:r w:rsidRPr="00B506D2">
              <w:rPr>
                <w:rFonts w:hint="eastAsia"/>
              </w:rPr>
              <w:t>文書番号</w:t>
            </w:r>
          </w:p>
        </w:tc>
        <w:tc>
          <w:tcPr>
            <w:tcW w:w="900" w:type="dxa"/>
          </w:tcPr>
          <w:p w:rsidR="00F769A2" w:rsidRPr="00B506D2" w:rsidRDefault="00F769A2" w:rsidP="000058A5">
            <w:r w:rsidRPr="00B506D2">
              <w:rPr>
                <w:rFonts w:hint="eastAsia"/>
              </w:rPr>
              <w:t>提出元</w:t>
            </w:r>
          </w:p>
        </w:tc>
        <w:tc>
          <w:tcPr>
            <w:tcW w:w="900" w:type="dxa"/>
          </w:tcPr>
          <w:p w:rsidR="00F769A2" w:rsidRPr="00B506D2" w:rsidRDefault="0038144A" w:rsidP="000058A5">
            <w:r w:rsidRPr="00B506D2">
              <w:rPr>
                <w:rFonts w:hint="eastAsia"/>
              </w:rPr>
              <w:t>決議名</w:t>
            </w:r>
          </w:p>
        </w:tc>
        <w:tc>
          <w:tcPr>
            <w:tcW w:w="5580" w:type="dxa"/>
          </w:tcPr>
          <w:p w:rsidR="00F769A2" w:rsidRPr="00B506D2" w:rsidRDefault="00F769A2" w:rsidP="000058A5">
            <w:r w:rsidRPr="00B506D2">
              <w:rPr>
                <w:rFonts w:hint="eastAsia"/>
              </w:rPr>
              <w:t>表題</w:t>
            </w:r>
          </w:p>
        </w:tc>
        <w:tc>
          <w:tcPr>
            <w:tcW w:w="1080" w:type="dxa"/>
          </w:tcPr>
          <w:p w:rsidR="00F769A2" w:rsidRPr="00B506D2" w:rsidRDefault="00F769A2" w:rsidP="000058A5">
            <w:r w:rsidRPr="00B506D2">
              <w:rPr>
                <w:rFonts w:hint="eastAsia"/>
              </w:rPr>
              <w:t>種別</w:t>
            </w:r>
          </w:p>
        </w:tc>
      </w:tr>
      <w:tr w:rsidR="0038144A" w:rsidRPr="00B506D2" w:rsidTr="00DC5130">
        <w:tc>
          <w:tcPr>
            <w:tcW w:w="1188" w:type="dxa"/>
          </w:tcPr>
          <w:p w:rsidR="0038144A" w:rsidRPr="00B506D2" w:rsidRDefault="0038144A" w:rsidP="000058A5">
            <w:r w:rsidRPr="00B506D2">
              <w:rPr>
                <w:rFonts w:hint="eastAsia"/>
              </w:rPr>
              <w:t>1/148</w:t>
            </w:r>
            <w:r w:rsidR="000058A5">
              <w:rPr>
                <w:rFonts w:hint="eastAsia"/>
              </w:rPr>
              <w:t>*</w:t>
            </w:r>
          </w:p>
        </w:tc>
        <w:tc>
          <w:tcPr>
            <w:tcW w:w="900" w:type="dxa"/>
          </w:tcPr>
          <w:p w:rsidR="0038144A" w:rsidRPr="00B506D2" w:rsidRDefault="0038144A" w:rsidP="000058A5">
            <w:r w:rsidRPr="00B506D2">
              <w:rPr>
                <w:rFonts w:hint="eastAsia"/>
              </w:rPr>
              <w:t>RUS</w:t>
            </w:r>
          </w:p>
        </w:tc>
        <w:tc>
          <w:tcPr>
            <w:tcW w:w="900" w:type="dxa"/>
          </w:tcPr>
          <w:p w:rsidR="0038144A" w:rsidRPr="00B506D2" w:rsidRDefault="0038144A" w:rsidP="000058A5">
            <w:r w:rsidRPr="00B506D2">
              <w:rPr>
                <w:rFonts w:hint="eastAsia"/>
              </w:rPr>
              <w:t>[CRS]</w:t>
            </w:r>
          </w:p>
        </w:tc>
        <w:tc>
          <w:tcPr>
            <w:tcW w:w="5580" w:type="dxa"/>
          </w:tcPr>
          <w:p w:rsidR="0038144A" w:rsidRPr="00B506D2" w:rsidRDefault="0038144A" w:rsidP="000058A5">
            <w:r w:rsidRPr="00B506D2">
              <w:t>Studies on the implementation and use of cognitive radio systems (CRS)</w:t>
            </w:r>
          </w:p>
        </w:tc>
        <w:tc>
          <w:tcPr>
            <w:tcW w:w="1080" w:type="dxa"/>
          </w:tcPr>
          <w:p w:rsidR="0038144A" w:rsidRPr="00B506D2" w:rsidRDefault="0038144A" w:rsidP="000058A5">
            <w:r w:rsidRPr="00B506D2">
              <w:rPr>
                <w:rFonts w:hint="eastAsia"/>
              </w:rPr>
              <w:t>新決議</w:t>
            </w:r>
          </w:p>
        </w:tc>
      </w:tr>
      <w:tr w:rsidR="0038144A" w:rsidRPr="00B506D2" w:rsidTr="00DC5130">
        <w:tc>
          <w:tcPr>
            <w:tcW w:w="1188" w:type="dxa"/>
          </w:tcPr>
          <w:p w:rsidR="0038144A" w:rsidRPr="00B506D2" w:rsidRDefault="0038144A" w:rsidP="000058A5">
            <w:r w:rsidRPr="00B506D2">
              <w:rPr>
                <w:rFonts w:hint="eastAsia"/>
              </w:rPr>
              <w:t>1/163</w:t>
            </w:r>
          </w:p>
        </w:tc>
        <w:tc>
          <w:tcPr>
            <w:tcW w:w="900" w:type="dxa"/>
          </w:tcPr>
          <w:p w:rsidR="0038144A" w:rsidRPr="00B506D2" w:rsidRDefault="0038144A" w:rsidP="000058A5">
            <w:r w:rsidRPr="00B506D2">
              <w:rPr>
                <w:rFonts w:hint="eastAsia"/>
              </w:rPr>
              <w:t>WP1C</w:t>
            </w:r>
          </w:p>
        </w:tc>
        <w:tc>
          <w:tcPr>
            <w:tcW w:w="900" w:type="dxa"/>
          </w:tcPr>
          <w:p w:rsidR="0038144A" w:rsidRPr="00B506D2" w:rsidRDefault="0038144A" w:rsidP="000058A5">
            <w:r w:rsidRPr="00B506D2">
              <w:rPr>
                <w:rFonts w:hint="eastAsia"/>
              </w:rPr>
              <w:t>23-1</w:t>
            </w:r>
          </w:p>
        </w:tc>
        <w:tc>
          <w:tcPr>
            <w:tcW w:w="5580" w:type="dxa"/>
          </w:tcPr>
          <w:p w:rsidR="0038144A" w:rsidRPr="00B506D2" w:rsidRDefault="0038144A" w:rsidP="000058A5">
            <w:r w:rsidRPr="00B506D2">
              <w:t>Extension of the International Monitoring System to a worldwide scale</w:t>
            </w:r>
          </w:p>
        </w:tc>
        <w:tc>
          <w:tcPr>
            <w:tcW w:w="1080" w:type="dxa"/>
          </w:tcPr>
          <w:p w:rsidR="0038144A" w:rsidRPr="00B506D2" w:rsidRDefault="0038144A" w:rsidP="000058A5">
            <w:r w:rsidRPr="00B506D2">
              <w:rPr>
                <w:rFonts w:hint="eastAsia"/>
              </w:rPr>
              <w:t>改定</w:t>
            </w:r>
          </w:p>
        </w:tc>
      </w:tr>
      <w:tr w:rsidR="0038144A" w:rsidRPr="00B506D2" w:rsidTr="00DC5130">
        <w:tc>
          <w:tcPr>
            <w:tcW w:w="1188" w:type="dxa"/>
          </w:tcPr>
          <w:p w:rsidR="0038144A" w:rsidRPr="00B506D2" w:rsidRDefault="0038144A" w:rsidP="000058A5">
            <w:r w:rsidRPr="00B506D2">
              <w:rPr>
                <w:rFonts w:hint="eastAsia"/>
              </w:rPr>
              <w:t>1/175</w:t>
            </w:r>
            <w:r w:rsidR="000058A5">
              <w:rPr>
                <w:rFonts w:hint="eastAsia"/>
              </w:rPr>
              <w:t>*</w:t>
            </w:r>
          </w:p>
        </w:tc>
        <w:tc>
          <w:tcPr>
            <w:tcW w:w="900" w:type="dxa"/>
          </w:tcPr>
          <w:p w:rsidR="0038144A" w:rsidRPr="00B506D2" w:rsidRDefault="0038144A" w:rsidP="000058A5">
            <w:r w:rsidRPr="00B506D2">
              <w:rPr>
                <w:rFonts w:hint="eastAsia"/>
              </w:rPr>
              <w:t>WP1B</w:t>
            </w:r>
          </w:p>
        </w:tc>
        <w:tc>
          <w:tcPr>
            <w:tcW w:w="900" w:type="dxa"/>
          </w:tcPr>
          <w:p w:rsidR="0038144A" w:rsidRPr="00B506D2" w:rsidRDefault="0038144A" w:rsidP="000058A5">
            <w:r w:rsidRPr="00B506D2">
              <w:rPr>
                <w:rFonts w:hint="eastAsia"/>
              </w:rPr>
              <w:t>[CRS]</w:t>
            </w:r>
          </w:p>
        </w:tc>
        <w:tc>
          <w:tcPr>
            <w:tcW w:w="5580" w:type="dxa"/>
          </w:tcPr>
          <w:p w:rsidR="0038144A" w:rsidRPr="00B506D2" w:rsidRDefault="0038144A" w:rsidP="000058A5">
            <w:r w:rsidRPr="00B506D2">
              <w:t>Studies on the implementation and use of cognitive radio systems (CRS)</w:t>
            </w:r>
          </w:p>
        </w:tc>
        <w:tc>
          <w:tcPr>
            <w:tcW w:w="1080" w:type="dxa"/>
          </w:tcPr>
          <w:p w:rsidR="0038144A" w:rsidRPr="00B506D2" w:rsidRDefault="0038144A" w:rsidP="000058A5">
            <w:r w:rsidRPr="00B506D2">
              <w:rPr>
                <w:rFonts w:hint="eastAsia"/>
              </w:rPr>
              <w:t>新決議</w:t>
            </w:r>
          </w:p>
        </w:tc>
      </w:tr>
    </w:tbl>
    <w:p w:rsidR="00B32870" w:rsidRPr="00B506D2" w:rsidRDefault="000058A5" w:rsidP="00B506D2">
      <w:r>
        <w:rPr>
          <w:rFonts w:hint="eastAsia"/>
        </w:rPr>
        <w:t>*</w:t>
      </w:r>
      <w:r>
        <w:rPr>
          <w:rFonts w:hint="eastAsia"/>
        </w:rPr>
        <w:t xml:space="preserve">　オリジナルの入力文書の形式では承認されなかった。</w:t>
      </w:r>
    </w:p>
    <w:p w:rsidR="004C25A8" w:rsidRPr="00451C79" w:rsidRDefault="004C25A8" w:rsidP="006B3D8A">
      <w:pPr>
        <w:pStyle w:val="Style205pt11pt"/>
        <w:ind w:firstLine="281"/>
      </w:pPr>
      <w:r w:rsidRPr="00451C79">
        <w:rPr>
          <w:rFonts w:hint="eastAsia"/>
        </w:rPr>
        <w:t>6.5</w:t>
      </w:r>
      <w:r w:rsidRPr="00451C79">
        <w:rPr>
          <w:rFonts w:hint="eastAsia"/>
        </w:rPr>
        <w:t xml:space="preserve">　ハンドブックの改定</w:t>
      </w:r>
    </w:p>
    <w:p w:rsidR="004C25A8" w:rsidRPr="00E95B31" w:rsidRDefault="004C25A8" w:rsidP="00E95B31">
      <w:r w:rsidRPr="00E95B31">
        <w:rPr>
          <w:rFonts w:hint="eastAsia"/>
        </w:rPr>
        <w:t>WP1A</w:t>
      </w:r>
      <w:r w:rsidRPr="00E95B31">
        <w:rPr>
          <w:rFonts w:hint="eastAsia"/>
        </w:rPr>
        <w:t>では、</w:t>
      </w:r>
      <w:r w:rsidR="00451C79" w:rsidRPr="00E95B31">
        <w:rPr>
          <w:rFonts w:hint="eastAsia"/>
        </w:rPr>
        <w:t>ラポータ・グループ</w:t>
      </w:r>
      <w:r w:rsidRPr="00E95B31">
        <w:rPr>
          <w:rFonts w:hint="eastAsia"/>
        </w:rPr>
        <w:t>を設置して、周波数管理のための</w:t>
      </w:r>
      <w:r w:rsidRPr="00E95B31">
        <w:t>CAT</w:t>
      </w:r>
      <w:r w:rsidRPr="00E95B31">
        <w:rPr>
          <w:rFonts w:hint="eastAsia"/>
        </w:rPr>
        <w:t>（</w:t>
      </w:r>
      <w:r w:rsidRPr="00E95B31">
        <w:t>Computer-Aided Techniques)</w:t>
      </w:r>
      <w:r w:rsidRPr="00E95B31">
        <w:rPr>
          <w:rFonts w:hint="eastAsia"/>
        </w:rPr>
        <w:t>ハンドブックの改訂活動を、また、</w:t>
      </w:r>
      <w:r w:rsidRPr="00E95B31">
        <w:t>WP1B</w:t>
      </w:r>
      <w:r w:rsidRPr="00E95B31">
        <w:rPr>
          <w:rFonts w:hint="eastAsia"/>
        </w:rPr>
        <w:t>では</w:t>
      </w:r>
      <w:r w:rsidR="00451C79" w:rsidRPr="00E95B31">
        <w:rPr>
          <w:rFonts w:hint="eastAsia"/>
        </w:rPr>
        <w:t>コレスポンデンス・グループ</w:t>
      </w:r>
      <w:r w:rsidRPr="00E95B31">
        <w:rPr>
          <w:rFonts w:hint="eastAsia"/>
        </w:rPr>
        <w:t>を設置して、国内周波数管理ハンドブックの改訂活動を開始することが</w:t>
      </w:r>
      <w:r w:rsidR="00451C79" w:rsidRPr="00E95B31">
        <w:rPr>
          <w:rFonts w:hint="eastAsia"/>
        </w:rPr>
        <w:t>議長より</w:t>
      </w:r>
      <w:r w:rsidRPr="00E95B31">
        <w:rPr>
          <w:rFonts w:hint="eastAsia"/>
        </w:rPr>
        <w:t>報告された。</w:t>
      </w:r>
    </w:p>
    <w:p w:rsidR="00B72967" w:rsidRDefault="004573FC" w:rsidP="00B72967">
      <w:pPr>
        <w:pStyle w:val="105pt16pt"/>
      </w:pPr>
      <w:r>
        <w:br w:type="page"/>
      </w:r>
      <w:r w:rsidR="00EF3619" w:rsidRPr="00B506D2">
        <w:rPr>
          <w:rFonts w:hint="eastAsia"/>
        </w:rPr>
        <w:t>他グループとの関係</w:t>
      </w:r>
      <w:r w:rsidR="002C53A5" w:rsidRPr="00B506D2">
        <w:tab/>
      </w:r>
    </w:p>
    <w:p w:rsidR="007C6CE9" w:rsidRPr="00B506D2" w:rsidRDefault="00D96761" w:rsidP="006B3D8A">
      <w:pPr>
        <w:pStyle w:val="Style205pt11pt"/>
        <w:ind w:firstLine="281"/>
      </w:pPr>
      <w:r w:rsidRPr="00B506D2">
        <w:rPr>
          <w:rFonts w:hint="eastAsia"/>
        </w:rPr>
        <w:t>7</w:t>
      </w:r>
      <w:r w:rsidR="007C6CE9" w:rsidRPr="00B506D2">
        <w:rPr>
          <w:rFonts w:hint="eastAsia"/>
        </w:rPr>
        <w:t>.1</w:t>
      </w:r>
      <w:r w:rsidR="007C6CE9" w:rsidRPr="00B506D2">
        <w:rPr>
          <w:rFonts w:hint="eastAsia"/>
        </w:rPr>
        <w:t xml:space="preserve">　</w:t>
      </w:r>
      <w:r w:rsidR="007C6CE9" w:rsidRPr="00B506D2">
        <w:rPr>
          <w:rFonts w:hint="eastAsia"/>
        </w:rPr>
        <w:t>ITU-R</w:t>
      </w:r>
    </w:p>
    <w:p w:rsidR="00EF56A1" w:rsidRPr="00B506D2" w:rsidRDefault="007C6CE9" w:rsidP="00F52CF5">
      <w:pPr>
        <w:pStyle w:val="a5"/>
      </w:pPr>
      <w:r w:rsidRPr="00B506D2">
        <w:t>入力文書</w:t>
      </w:r>
      <w:r w:rsidRPr="00B506D2">
        <w:t xml:space="preserve">  </w:t>
      </w:r>
      <w:r w:rsidR="008A4378" w:rsidRPr="00B506D2">
        <w:rPr>
          <w:rFonts w:hint="eastAsia"/>
        </w:rPr>
        <w:t>Doc.1/137</w:t>
      </w:r>
    </w:p>
    <w:p w:rsidR="008A4378" w:rsidRPr="00E95B31" w:rsidRDefault="008A4378" w:rsidP="00E95B31">
      <w:r w:rsidRPr="00E95B31">
        <w:rPr>
          <w:rFonts w:hint="eastAsia"/>
        </w:rPr>
        <w:t>SG6</w:t>
      </w:r>
      <w:r w:rsidRPr="00E95B31">
        <w:rPr>
          <w:rFonts w:hint="eastAsia"/>
        </w:rPr>
        <w:t>から入力された</w:t>
      </w:r>
      <w:r w:rsidRPr="00E95B31">
        <w:rPr>
          <w:rFonts w:hint="eastAsia"/>
        </w:rPr>
        <w:t>ITU-R</w:t>
      </w:r>
      <w:r w:rsidRPr="00E95B31">
        <w:rPr>
          <w:rFonts w:hint="eastAsia"/>
        </w:rPr>
        <w:t>の勧告における「</w:t>
      </w:r>
      <w:r w:rsidRPr="00E95B31">
        <w:rPr>
          <w:rFonts w:hint="eastAsia"/>
        </w:rPr>
        <w:t>Must</w:t>
      </w:r>
      <w:r w:rsidRPr="00E95B31">
        <w:rPr>
          <w:rFonts w:hint="eastAsia"/>
        </w:rPr>
        <w:t>」の使い方に関する文書（</w:t>
      </w:r>
      <w:r w:rsidRPr="00E95B31">
        <w:rPr>
          <w:rFonts w:hint="eastAsia"/>
        </w:rPr>
        <w:t>1/137</w:t>
      </w:r>
      <w:r w:rsidRPr="00E95B31">
        <w:rPr>
          <w:rFonts w:hint="eastAsia"/>
        </w:rPr>
        <w:t>）は議長ノートされた。</w:t>
      </w:r>
    </w:p>
    <w:p w:rsidR="00EF56A1" w:rsidRPr="00B506D2" w:rsidRDefault="00D96761" w:rsidP="006B3D8A">
      <w:pPr>
        <w:pStyle w:val="Style205pt11pt"/>
        <w:ind w:firstLine="281"/>
      </w:pPr>
      <w:r w:rsidRPr="00B506D2">
        <w:rPr>
          <w:rFonts w:hint="eastAsia"/>
        </w:rPr>
        <w:t>7</w:t>
      </w:r>
      <w:r w:rsidR="00EF56A1" w:rsidRPr="00B506D2">
        <w:rPr>
          <w:rFonts w:hint="eastAsia"/>
        </w:rPr>
        <w:t>.2</w:t>
      </w:r>
      <w:r w:rsidR="00EF56A1" w:rsidRPr="00B506D2">
        <w:rPr>
          <w:rFonts w:hint="eastAsia"/>
        </w:rPr>
        <w:t xml:space="preserve">　</w:t>
      </w:r>
      <w:r w:rsidR="00EF56A1" w:rsidRPr="00B506D2">
        <w:rPr>
          <w:rFonts w:hint="eastAsia"/>
        </w:rPr>
        <w:t>ITU-T</w:t>
      </w:r>
    </w:p>
    <w:p w:rsidR="00EF56A1" w:rsidRPr="00B506D2" w:rsidRDefault="00271E04" w:rsidP="00F52CF5">
      <w:pPr>
        <w:pStyle w:val="a5"/>
      </w:pPr>
      <w:r w:rsidRPr="00B506D2">
        <w:t>入力文書</w:t>
      </w:r>
      <w:r w:rsidRPr="00B506D2">
        <w:t xml:space="preserve">  </w:t>
      </w:r>
      <w:r w:rsidR="00EF56A1" w:rsidRPr="00B506D2">
        <w:rPr>
          <w:rFonts w:hint="eastAsia"/>
        </w:rPr>
        <w:t>Doc.1/</w:t>
      </w:r>
      <w:r w:rsidR="008A4378" w:rsidRPr="00B506D2">
        <w:rPr>
          <w:rFonts w:hint="eastAsia"/>
        </w:rPr>
        <w:t>138, 1/139(Rev.1), 1/141, 1/142, 1/147, 1/174</w:t>
      </w:r>
    </w:p>
    <w:p w:rsidR="005D5999" w:rsidRPr="00E95B31" w:rsidRDefault="005D5999" w:rsidP="00E95B31">
      <w:r w:rsidRPr="00E95B31">
        <w:rPr>
          <w:rFonts w:hint="eastAsia"/>
        </w:rPr>
        <w:t>狭帯域無線ホームネットワーキング（</w:t>
      </w:r>
      <w:r w:rsidRPr="00E95B31">
        <w:t>NWHN</w:t>
      </w:r>
      <w:r w:rsidRPr="00E95B31">
        <w:rPr>
          <w:rFonts w:hint="eastAsia"/>
        </w:rPr>
        <w:t>）、アクセス・ネットワーク・トランスポート（</w:t>
      </w:r>
      <w:r w:rsidRPr="00E95B31">
        <w:rPr>
          <w:rFonts w:hint="eastAsia"/>
        </w:rPr>
        <w:t>ANT</w:t>
      </w:r>
      <w:r w:rsidRPr="00E95B31">
        <w:rPr>
          <w:rFonts w:hint="eastAsia"/>
        </w:rPr>
        <w:t>）、</w:t>
      </w:r>
      <w:r w:rsidRPr="00E95B31">
        <w:rPr>
          <w:rFonts w:hint="eastAsia"/>
        </w:rPr>
        <w:t>ICT</w:t>
      </w:r>
      <w:r w:rsidRPr="00E95B31">
        <w:rPr>
          <w:rFonts w:hint="eastAsia"/>
        </w:rPr>
        <w:t>・気候変動・環境の</w:t>
      </w:r>
      <w:r w:rsidRPr="00E95B31">
        <w:rPr>
          <w:rFonts w:hint="eastAsia"/>
        </w:rPr>
        <w:t>3</w:t>
      </w:r>
      <w:r w:rsidRPr="00E95B31">
        <w:rPr>
          <w:rFonts w:hint="eastAsia"/>
        </w:rPr>
        <w:t>つの分野に関する</w:t>
      </w:r>
      <w:r w:rsidRPr="00E95B31">
        <w:rPr>
          <w:rFonts w:hint="eastAsia"/>
        </w:rPr>
        <w:t>ITU-T</w:t>
      </w:r>
      <w:r w:rsidRPr="00E95B31">
        <w:rPr>
          <w:rFonts w:hint="eastAsia"/>
        </w:rPr>
        <w:t>からの</w:t>
      </w:r>
      <w:r w:rsidRPr="00E95B31">
        <w:rPr>
          <w:rFonts w:hint="eastAsia"/>
        </w:rPr>
        <w:t>LS</w:t>
      </w:r>
      <w:r w:rsidRPr="00E95B31">
        <w:rPr>
          <w:rFonts w:hint="eastAsia"/>
        </w:rPr>
        <w:t>文書は</w:t>
      </w:r>
      <w:r w:rsidR="003C2F16" w:rsidRPr="00E95B31">
        <w:rPr>
          <w:rFonts w:hint="eastAsia"/>
        </w:rPr>
        <w:t>すべて議長ノートされた。これらの</w:t>
      </w:r>
      <w:r w:rsidR="003C2F16" w:rsidRPr="00E95B31">
        <w:rPr>
          <w:rFonts w:hint="eastAsia"/>
        </w:rPr>
        <w:t>LS</w:t>
      </w:r>
      <w:r w:rsidR="003C2F16" w:rsidRPr="00E95B31">
        <w:rPr>
          <w:rFonts w:hint="eastAsia"/>
        </w:rPr>
        <w:t>文書を受け、</w:t>
      </w:r>
      <w:r w:rsidR="003C2F16" w:rsidRPr="00E95B31">
        <w:rPr>
          <w:rFonts w:hint="eastAsia"/>
        </w:rPr>
        <w:t>WP1A</w:t>
      </w:r>
      <w:r w:rsidR="003C2F16" w:rsidRPr="00E95B31">
        <w:rPr>
          <w:rFonts w:hint="eastAsia"/>
        </w:rPr>
        <w:t>と</w:t>
      </w:r>
      <w:r w:rsidR="003C2F16" w:rsidRPr="00E95B31">
        <w:rPr>
          <w:rFonts w:hint="eastAsia"/>
        </w:rPr>
        <w:t>WP1B</w:t>
      </w:r>
      <w:r w:rsidR="003C2F16" w:rsidRPr="00E95B31">
        <w:rPr>
          <w:rFonts w:hint="eastAsia"/>
        </w:rPr>
        <w:t>で共同作成された</w:t>
      </w:r>
      <w:r w:rsidR="00802D69" w:rsidRPr="00E95B31">
        <w:rPr>
          <w:rFonts w:hint="eastAsia"/>
        </w:rPr>
        <w:t>NWHN</w:t>
      </w:r>
      <w:r w:rsidR="00802D69" w:rsidRPr="00E95B31">
        <w:rPr>
          <w:rFonts w:hint="eastAsia"/>
        </w:rPr>
        <w:t>に関する</w:t>
      </w:r>
      <w:r w:rsidR="003C2F16" w:rsidRPr="00E95B31">
        <w:rPr>
          <w:rFonts w:hint="eastAsia"/>
        </w:rPr>
        <w:t>ITU-T</w:t>
      </w:r>
      <w:r w:rsidR="003C2F16" w:rsidRPr="00E95B31">
        <w:rPr>
          <w:rFonts w:hint="eastAsia"/>
        </w:rPr>
        <w:t xml:space="preserve">　</w:t>
      </w:r>
      <w:r w:rsidR="003C2F16" w:rsidRPr="00E95B31">
        <w:rPr>
          <w:rFonts w:hint="eastAsia"/>
        </w:rPr>
        <w:t>SG15</w:t>
      </w:r>
      <w:r w:rsidR="003C2F16" w:rsidRPr="00E95B31">
        <w:rPr>
          <w:rFonts w:hint="eastAsia"/>
        </w:rPr>
        <w:t>へのリエゾンバック文書（</w:t>
      </w:r>
      <w:r w:rsidR="003C2F16" w:rsidRPr="00E95B31">
        <w:rPr>
          <w:rFonts w:hint="eastAsia"/>
        </w:rPr>
        <w:t>1/174</w:t>
      </w:r>
      <w:r w:rsidR="003C2F16" w:rsidRPr="00E95B31">
        <w:rPr>
          <w:rFonts w:hint="eastAsia"/>
        </w:rPr>
        <w:t>）には、</w:t>
      </w:r>
      <w:r w:rsidR="00802D69" w:rsidRPr="00E95B31">
        <w:rPr>
          <w:rFonts w:hint="eastAsia"/>
        </w:rPr>
        <w:t>NWHN</w:t>
      </w:r>
      <w:r w:rsidR="00802D69" w:rsidRPr="00E95B31">
        <w:rPr>
          <w:rFonts w:hint="eastAsia"/>
        </w:rPr>
        <w:t>に関する</w:t>
      </w:r>
      <w:r w:rsidR="00D12425" w:rsidRPr="00E95B31">
        <w:rPr>
          <w:rFonts w:hint="eastAsia"/>
        </w:rPr>
        <w:t>活動は</w:t>
      </w:r>
      <w:r w:rsidR="00D12425" w:rsidRPr="00E95B31">
        <w:rPr>
          <w:rFonts w:hint="eastAsia"/>
        </w:rPr>
        <w:t>ITU-R</w:t>
      </w:r>
      <w:r w:rsidR="00D12425" w:rsidRPr="00E95B31">
        <w:rPr>
          <w:rFonts w:hint="eastAsia"/>
        </w:rPr>
        <w:t>が主導すべきであること、</w:t>
      </w:r>
      <w:r w:rsidR="00D12425" w:rsidRPr="00E95B31">
        <w:rPr>
          <w:rFonts w:hint="eastAsia"/>
        </w:rPr>
        <w:t>WP1B</w:t>
      </w:r>
      <w:r w:rsidR="00D12425" w:rsidRPr="00E95B31">
        <w:rPr>
          <w:rFonts w:hint="eastAsia"/>
        </w:rPr>
        <w:t>にて当該事項を扱う</w:t>
      </w:r>
      <w:r w:rsidR="00D12425" w:rsidRPr="00E95B31">
        <w:rPr>
          <w:rFonts w:hint="eastAsia"/>
        </w:rPr>
        <w:t>CG</w:t>
      </w:r>
      <w:r w:rsidR="00D12425" w:rsidRPr="00E95B31">
        <w:rPr>
          <w:rFonts w:hint="eastAsia"/>
        </w:rPr>
        <w:t>が設置されたことなどが記載された。本文書は特段の議論なく承認され、</w:t>
      </w:r>
      <w:r w:rsidR="00D12425" w:rsidRPr="00E95B31">
        <w:rPr>
          <w:rFonts w:hint="eastAsia"/>
        </w:rPr>
        <w:t>ITU-T</w:t>
      </w:r>
      <w:r w:rsidR="00D12425" w:rsidRPr="00E95B31">
        <w:rPr>
          <w:rFonts w:hint="eastAsia"/>
        </w:rPr>
        <w:t xml:space="preserve">　</w:t>
      </w:r>
      <w:r w:rsidR="00D12425" w:rsidRPr="00E95B31">
        <w:rPr>
          <w:rFonts w:hint="eastAsia"/>
        </w:rPr>
        <w:t>SG15</w:t>
      </w:r>
      <w:r w:rsidR="00D12425" w:rsidRPr="00E95B31">
        <w:rPr>
          <w:rFonts w:hint="eastAsia"/>
        </w:rPr>
        <w:t>へ送付されることになった。</w:t>
      </w:r>
    </w:p>
    <w:p w:rsidR="009064B2" w:rsidRPr="00B506D2" w:rsidRDefault="00D12425" w:rsidP="006B3D8A">
      <w:pPr>
        <w:pStyle w:val="Style205pt11pt"/>
        <w:ind w:firstLine="281"/>
      </w:pPr>
      <w:r w:rsidRPr="00B506D2">
        <w:rPr>
          <w:rFonts w:hint="eastAsia"/>
        </w:rPr>
        <w:t>7</w:t>
      </w:r>
      <w:r w:rsidR="009064B2" w:rsidRPr="00B506D2">
        <w:rPr>
          <w:rFonts w:hint="eastAsia"/>
        </w:rPr>
        <w:t>.3</w:t>
      </w:r>
      <w:r w:rsidR="009064B2" w:rsidRPr="00B506D2">
        <w:rPr>
          <w:rFonts w:hint="eastAsia"/>
        </w:rPr>
        <w:t xml:space="preserve">　</w:t>
      </w:r>
      <w:r w:rsidR="009064B2" w:rsidRPr="00B506D2">
        <w:rPr>
          <w:rFonts w:hint="eastAsia"/>
        </w:rPr>
        <w:t>ITU-D</w:t>
      </w:r>
    </w:p>
    <w:p w:rsidR="009064B2" w:rsidRPr="00B506D2" w:rsidRDefault="009064B2" w:rsidP="00F52CF5">
      <w:pPr>
        <w:pStyle w:val="a5"/>
      </w:pPr>
      <w:r w:rsidRPr="00B506D2">
        <w:t>入力文書</w:t>
      </w:r>
      <w:r w:rsidRPr="00B506D2">
        <w:t xml:space="preserve">  </w:t>
      </w:r>
      <w:r w:rsidRPr="00B506D2">
        <w:rPr>
          <w:rFonts w:hint="eastAsia"/>
        </w:rPr>
        <w:t>Doc.1/</w:t>
      </w:r>
      <w:r w:rsidR="00C45E6E" w:rsidRPr="00B506D2">
        <w:rPr>
          <w:rFonts w:hint="eastAsia"/>
        </w:rPr>
        <w:t>136</w:t>
      </w:r>
      <w:r w:rsidR="00C45E6E" w:rsidRPr="00B506D2">
        <w:rPr>
          <w:rFonts w:hint="eastAsia"/>
        </w:rPr>
        <w:t>（セクション</w:t>
      </w:r>
      <w:r w:rsidR="00C45E6E" w:rsidRPr="00B506D2">
        <w:rPr>
          <w:rFonts w:hint="eastAsia"/>
        </w:rPr>
        <w:t>14.2</w:t>
      </w:r>
      <w:r w:rsidR="00C45E6E" w:rsidRPr="00B506D2">
        <w:rPr>
          <w:rFonts w:hint="eastAsia"/>
        </w:rPr>
        <w:t>）</w:t>
      </w:r>
    </w:p>
    <w:p w:rsidR="00A42E65" w:rsidRPr="00E95B31" w:rsidRDefault="00EF56A1" w:rsidP="00E95B31">
      <w:r w:rsidRPr="00E95B31">
        <w:rPr>
          <w:rFonts w:hint="eastAsia"/>
        </w:rPr>
        <w:t>周波数管理に関する開発途上国の参画　（</w:t>
      </w:r>
      <w:r w:rsidRPr="00E95B31">
        <w:rPr>
          <w:rFonts w:hint="eastAsia"/>
        </w:rPr>
        <w:t>ITU-D</w:t>
      </w:r>
      <w:r w:rsidRPr="00E95B31">
        <w:rPr>
          <w:rFonts w:hint="eastAsia"/>
        </w:rPr>
        <w:t xml:space="preserve">　</w:t>
      </w:r>
      <w:r w:rsidRPr="00E95B31">
        <w:rPr>
          <w:rFonts w:hint="eastAsia"/>
        </w:rPr>
        <w:t>SG2</w:t>
      </w:r>
      <w:r w:rsidRPr="00E95B31">
        <w:rPr>
          <w:rFonts w:hint="eastAsia"/>
        </w:rPr>
        <w:t xml:space="preserve">　が所掌する決議</w:t>
      </w:r>
      <w:r w:rsidRPr="00E95B31">
        <w:rPr>
          <w:rFonts w:hint="eastAsia"/>
        </w:rPr>
        <w:t>9</w:t>
      </w:r>
      <w:r w:rsidRPr="00E95B31">
        <w:rPr>
          <w:rFonts w:hint="eastAsia"/>
        </w:rPr>
        <w:t>）</w:t>
      </w:r>
      <w:r w:rsidR="009064B2" w:rsidRPr="00E95B31">
        <w:rPr>
          <w:rFonts w:hint="eastAsia"/>
        </w:rPr>
        <w:t>に関する</w:t>
      </w:r>
      <w:r w:rsidR="00A734EE" w:rsidRPr="00E95B31">
        <w:rPr>
          <w:rFonts w:hint="eastAsia"/>
        </w:rPr>
        <w:t>ジョイント・グループの共同議長</w:t>
      </w:r>
      <w:r w:rsidR="00AC25F4" w:rsidRPr="00E95B31">
        <w:rPr>
          <w:rFonts w:hint="eastAsia"/>
        </w:rPr>
        <w:t>として</w:t>
      </w:r>
      <w:r w:rsidR="00A734EE" w:rsidRPr="00E95B31">
        <w:rPr>
          <w:rFonts w:hint="eastAsia"/>
        </w:rPr>
        <w:t>、昨年の</w:t>
      </w:r>
      <w:r w:rsidR="00A734EE" w:rsidRPr="00E95B31">
        <w:rPr>
          <w:rFonts w:hint="eastAsia"/>
        </w:rPr>
        <w:t>SG1</w:t>
      </w:r>
      <w:r w:rsidR="00A734EE" w:rsidRPr="00E95B31">
        <w:rPr>
          <w:rFonts w:hint="eastAsia"/>
        </w:rPr>
        <w:t>会合で</w:t>
      </w:r>
      <w:r w:rsidR="00A734EE" w:rsidRPr="00E95B31">
        <w:rPr>
          <w:rFonts w:hint="eastAsia"/>
        </w:rPr>
        <w:t>SG1</w:t>
      </w:r>
      <w:r w:rsidR="00A734EE" w:rsidRPr="00E95B31">
        <w:rPr>
          <w:rFonts w:hint="eastAsia"/>
        </w:rPr>
        <w:t>議長、シリアを含む</w:t>
      </w:r>
      <w:r w:rsidR="00A734EE" w:rsidRPr="00E95B31">
        <w:rPr>
          <w:rFonts w:hint="eastAsia"/>
        </w:rPr>
        <w:t>4</w:t>
      </w:r>
      <w:r w:rsidR="00A734EE" w:rsidRPr="00E95B31">
        <w:rPr>
          <w:rFonts w:hint="eastAsia"/>
        </w:rPr>
        <w:t>名</w:t>
      </w:r>
      <w:r w:rsidR="00A34029" w:rsidRPr="00E95B31">
        <w:rPr>
          <w:rFonts w:hint="eastAsia"/>
        </w:rPr>
        <w:t>が</w:t>
      </w:r>
      <w:r w:rsidR="00AC25F4" w:rsidRPr="00E95B31">
        <w:rPr>
          <w:rFonts w:hint="eastAsia"/>
        </w:rPr>
        <w:t>候補者として指名</w:t>
      </w:r>
      <w:r w:rsidR="00A34029" w:rsidRPr="00E95B31">
        <w:rPr>
          <w:rFonts w:hint="eastAsia"/>
        </w:rPr>
        <w:t>されて</w:t>
      </w:r>
      <w:r w:rsidR="00AC25F4" w:rsidRPr="00E95B31">
        <w:rPr>
          <w:rFonts w:hint="eastAsia"/>
        </w:rPr>
        <w:t>いたが、</w:t>
      </w:r>
      <w:proofErr w:type="spellStart"/>
      <w:r w:rsidR="00A42E65" w:rsidRPr="00E95B31">
        <w:rPr>
          <w:rFonts w:hint="eastAsia"/>
        </w:rPr>
        <w:t>Kisrawi</w:t>
      </w:r>
      <w:proofErr w:type="spellEnd"/>
      <w:r w:rsidR="00A42E65" w:rsidRPr="00E95B31">
        <w:rPr>
          <w:rFonts w:hint="eastAsia"/>
        </w:rPr>
        <w:t>氏の他界に加え、</w:t>
      </w:r>
      <w:r w:rsidR="00A42E65" w:rsidRPr="00E95B31">
        <w:t xml:space="preserve">Stanley </w:t>
      </w:r>
      <w:proofErr w:type="spellStart"/>
      <w:r w:rsidR="00A42E65" w:rsidRPr="00E95B31">
        <w:t>Kibe</w:t>
      </w:r>
      <w:proofErr w:type="spellEnd"/>
      <w:r w:rsidR="00A42E65" w:rsidRPr="00E95B31">
        <w:rPr>
          <w:rFonts w:hint="eastAsia"/>
        </w:rPr>
        <w:t>氏が参加できなくなったことから、</w:t>
      </w:r>
      <w:r w:rsidR="00A42E65" w:rsidRPr="00E95B31">
        <w:rPr>
          <w:rFonts w:hint="eastAsia"/>
        </w:rPr>
        <w:t>SG1</w:t>
      </w:r>
      <w:r w:rsidR="00A42E65" w:rsidRPr="00E95B31">
        <w:rPr>
          <w:rFonts w:hint="eastAsia"/>
        </w:rPr>
        <w:t>議長と</w:t>
      </w:r>
      <w:r w:rsidR="00A42E65" w:rsidRPr="00E95B31">
        <w:t xml:space="preserve">Simon </w:t>
      </w:r>
      <w:proofErr w:type="spellStart"/>
      <w:r w:rsidR="00A42E65" w:rsidRPr="00E95B31">
        <w:t>Koffi</w:t>
      </w:r>
      <w:proofErr w:type="spellEnd"/>
      <w:r w:rsidR="00A42E65" w:rsidRPr="00E95B31">
        <w:rPr>
          <w:rFonts w:hint="eastAsia"/>
        </w:rPr>
        <w:t>氏の</w:t>
      </w:r>
      <w:r w:rsidR="00A42E65" w:rsidRPr="00E95B31">
        <w:rPr>
          <w:rFonts w:hint="eastAsia"/>
        </w:rPr>
        <w:t>2</w:t>
      </w:r>
      <w:r w:rsidR="00A34029" w:rsidRPr="00E95B31">
        <w:rPr>
          <w:rFonts w:hint="eastAsia"/>
        </w:rPr>
        <w:t>名となってしまった点が報告された。これについては特に問題はないとされ</w:t>
      </w:r>
      <w:r w:rsidR="00A42E65" w:rsidRPr="00E95B31">
        <w:rPr>
          <w:rFonts w:hint="eastAsia"/>
        </w:rPr>
        <w:t>、</w:t>
      </w:r>
      <w:r w:rsidR="00A42E65" w:rsidRPr="00E95B31">
        <w:rPr>
          <w:rFonts w:hint="eastAsia"/>
        </w:rPr>
        <w:t>ITU-D</w:t>
      </w:r>
      <w:r w:rsidR="00A42E65" w:rsidRPr="00E95B31">
        <w:rPr>
          <w:rFonts w:hint="eastAsia"/>
        </w:rPr>
        <w:t xml:space="preserve">　</w:t>
      </w:r>
      <w:r w:rsidR="00A42E65" w:rsidRPr="00E95B31">
        <w:rPr>
          <w:rFonts w:hint="eastAsia"/>
        </w:rPr>
        <w:t>SG2</w:t>
      </w:r>
      <w:r w:rsidR="00A42E65" w:rsidRPr="00E95B31">
        <w:rPr>
          <w:rFonts w:hint="eastAsia"/>
        </w:rPr>
        <w:t>に</w:t>
      </w:r>
      <w:r w:rsidR="00DC5130" w:rsidRPr="00E95B31">
        <w:rPr>
          <w:rFonts w:hint="eastAsia"/>
        </w:rPr>
        <w:t>連絡される</w:t>
      </w:r>
      <w:r w:rsidR="00A42E65" w:rsidRPr="00E95B31">
        <w:rPr>
          <w:rFonts w:hint="eastAsia"/>
        </w:rPr>
        <w:t>ことになった。</w:t>
      </w:r>
    </w:p>
    <w:p w:rsidR="007C6CE9" w:rsidRPr="00B506D2" w:rsidRDefault="00F56592" w:rsidP="006B3D8A">
      <w:pPr>
        <w:pStyle w:val="Style205pt11pt"/>
        <w:ind w:firstLine="281"/>
      </w:pPr>
      <w:r w:rsidRPr="00B506D2">
        <w:rPr>
          <w:rFonts w:hint="eastAsia"/>
        </w:rPr>
        <w:t>7</w:t>
      </w:r>
      <w:r w:rsidR="007C6CE9" w:rsidRPr="00B506D2">
        <w:rPr>
          <w:rFonts w:hint="eastAsia"/>
        </w:rPr>
        <w:t>.4</w:t>
      </w:r>
      <w:r w:rsidR="007C6CE9" w:rsidRPr="00B506D2">
        <w:rPr>
          <w:rFonts w:hint="eastAsia"/>
        </w:rPr>
        <w:t xml:space="preserve">　</w:t>
      </w:r>
      <w:r w:rsidR="007C6CE9" w:rsidRPr="00B506D2">
        <w:rPr>
          <w:rFonts w:hint="eastAsia"/>
        </w:rPr>
        <w:t>CISPR</w:t>
      </w:r>
      <w:r w:rsidR="00A42E65" w:rsidRPr="00B506D2">
        <w:rPr>
          <w:rFonts w:hint="eastAsia"/>
        </w:rPr>
        <w:t>およびその他の機関</w:t>
      </w:r>
    </w:p>
    <w:p w:rsidR="007C6CE9" w:rsidRPr="00B506D2" w:rsidRDefault="007C6CE9" w:rsidP="00F52CF5">
      <w:pPr>
        <w:pStyle w:val="a5"/>
      </w:pPr>
      <w:r w:rsidRPr="00B506D2">
        <w:t>入力文書</w:t>
      </w:r>
      <w:r w:rsidRPr="00B506D2">
        <w:t xml:space="preserve">  </w:t>
      </w:r>
      <w:r w:rsidR="00A42E65" w:rsidRPr="00B506D2">
        <w:rPr>
          <w:rFonts w:hint="eastAsia"/>
        </w:rPr>
        <w:t>Doc.</w:t>
      </w:r>
      <w:r w:rsidR="00AF4063" w:rsidRPr="00B506D2">
        <w:rPr>
          <w:rFonts w:hint="eastAsia"/>
        </w:rPr>
        <w:t>1/143, 1/146, 1/169, 1/177</w:t>
      </w:r>
    </w:p>
    <w:p w:rsidR="005F2FD7" w:rsidRPr="00E95B31" w:rsidRDefault="00C4560F" w:rsidP="00E95B31">
      <w:r w:rsidRPr="00E95B31">
        <w:rPr>
          <w:rFonts w:hint="eastAsia"/>
        </w:rPr>
        <w:t>無線業務の保護に関する</w:t>
      </w:r>
      <w:r w:rsidRPr="00E95B31">
        <w:rPr>
          <w:rFonts w:hint="eastAsia"/>
        </w:rPr>
        <w:t>CISPR</w:t>
      </w:r>
      <w:r w:rsidRPr="00E95B31">
        <w:rPr>
          <w:rFonts w:hint="eastAsia"/>
        </w:rPr>
        <w:t xml:space="preserve">　</w:t>
      </w:r>
      <w:r w:rsidRPr="00E95B31">
        <w:rPr>
          <w:rFonts w:hint="eastAsia"/>
        </w:rPr>
        <w:t>SC</w:t>
      </w:r>
      <w:r w:rsidRPr="00E95B31">
        <w:rPr>
          <w:rFonts w:hint="eastAsia"/>
        </w:rPr>
        <w:t xml:space="preserve">　</w:t>
      </w:r>
      <w:r w:rsidRPr="00E95B31">
        <w:rPr>
          <w:rFonts w:hint="eastAsia"/>
        </w:rPr>
        <w:t>H</w:t>
      </w:r>
      <w:r w:rsidRPr="00E95B31">
        <w:rPr>
          <w:rFonts w:hint="eastAsia"/>
        </w:rPr>
        <w:t>からの</w:t>
      </w:r>
      <w:r w:rsidRPr="00E95B31">
        <w:rPr>
          <w:rFonts w:hint="eastAsia"/>
        </w:rPr>
        <w:t>LS</w:t>
      </w:r>
      <w:r w:rsidRPr="00E95B31">
        <w:rPr>
          <w:rFonts w:hint="eastAsia"/>
        </w:rPr>
        <w:t>文書（</w:t>
      </w:r>
      <w:r w:rsidRPr="00E95B31">
        <w:rPr>
          <w:rFonts w:hint="eastAsia"/>
        </w:rPr>
        <w:t>1/143</w:t>
      </w:r>
      <w:r w:rsidRPr="00E95B31">
        <w:rPr>
          <w:rFonts w:hint="eastAsia"/>
        </w:rPr>
        <w:t>）、</w:t>
      </w:r>
      <w:r w:rsidRPr="00E95B31">
        <w:rPr>
          <w:rFonts w:hint="eastAsia"/>
        </w:rPr>
        <w:t>IEEE</w:t>
      </w:r>
      <w:r w:rsidRPr="00E95B31">
        <w:rPr>
          <w:rFonts w:hint="eastAsia"/>
        </w:rPr>
        <w:t>からのホワイトスペースにおける</w:t>
      </w:r>
      <w:r w:rsidRPr="00E95B31">
        <w:rPr>
          <w:rFonts w:hint="eastAsia"/>
        </w:rPr>
        <w:t>CRS</w:t>
      </w:r>
      <w:r w:rsidRPr="00E95B31">
        <w:rPr>
          <w:rFonts w:hint="eastAsia"/>
        </w:rPr>
        <w:t>に関する</w:t>
      </w:r>
      <w:r w:rsidRPr="00E95B31">
        <w:rPr>
          <w:rFonts w:hint="eastAsia"/>
        </w:rPr>
        <w:t>LS</w:t>
      </w:r>
      <w:r w:rsidRPr="00E95B31">
        <w:rPr>
          <w:rFonts w:hint="eastAsia"/>
        </w:rPr>
        <w:t>文書（</w:t>
      </w:r>
      <w:r w:rsidRPr="00E95B31">
        <w:rPr>
          <w:rFonts w:hint="eastAsia"/>
        </w:rPr>
        <w:t>1/146</w:t>
      </w:r>
      <w:r w:rsidRPr="00E95B31">
        <w:rPr>
          <w:rFonts w:hint="eastAsia"/>
        </w:rPr>
        <w:t>）はいずれも特段の議論なく議長ノートされた。また、</w:t>
      </w:r>
      <w:r w:rsidRPr="00E95B31">
        <w:rPr>
          <w:rFonts w:hint="eastAsia"/>
        </w:rPr>
        <w:t>CISPR</w:t>
      </w:r>
      <w:r w:rsidRPr="00E95B31">
        <w:rPr>
          <w:rFonts w:hint="eastAsia"/>
        </w:rPr>
        <w:t>へのリエゾンバック文書（</w:t>
      </w:r>
      <w:r w:rsidRPr="00E95B31">
        <w:rPr>
          <w:rFonts w:hint="eastAsia"/>
        </w:rPr>
        <w:t>1/169</w:t>
      </w:r>
      <w:r w:rsidRPr="00E95B31">
        <w:rPr>
          <w:rFonts w:hint="eastAsia"/>
        </w:rPr>
        <w:t>）と無線業務の保護に関するデータベース開発に関する</w:t>
      </w:r>
      <w:r w:rsidRPr="00E95B31">
        <w:rPr>
          <w:rFonts w:hint="eastAsia"/>
        </w:rPr>
        <w:t>SG4</w:t>
      </w:r>
      <w:r w:rsidRPr="00E95B31">
        <w:rPr>
          <w:rFonts w:hint="eastAsia"/>
        </w:rPr>
        <w:t>、</w:t>
      </w:r>
      <w:r w:rsidRPr="00E95B31">
        <w:rPr>
          <w:rFonts w:hint="eastAsia"/>
        </w:rPr>
        <w:t>SG6</w:t>
      </w:r>
      <w:r w:rsidRPr="00E95B31">
        <w:rPr>
          <w:rFonts w:hint="eastAsia"/>
        </w:rPr>
        <w:t>、</w:t>
      </w:r>
      <w:r w:rsidRPr="00E95B31">
        <w:rPr>
          <w:rFonts w:hint="eastAsia"/>
        </w:rPr>
        <w:t>SG7</w:t>
      </w:r>
      <w:r w:rsidRPr="00E95B31">
        <w:rPr>
          <w:rFonts w:hint="eastAsia"/>
        </w:rPr>
        <w:t>、</w:t>
      </w:r>
      <w:r w:rsidRPr="00E95B31">
        <w:rPr>
          <w:rFonts w:hint="eastAsia"/>
        </w:rPr>
        <w:t>WP5A</w:t>
      </w:r>
      <w:r w:rsidRPr="00E95B31">
        <w:rPr>
          <w:rFonts w:hint="eastAsia"/>
        </w:rPr>
        <w:t>、</w:t>
      </w:r>
      <w:r w:rsidRPr="00E95B31">
        <w:rPr>
          <w:rFonts w:hint="eastAsia"/>
        </w:rPr>
        <w:t>WP5B</w:t>
      </w:r>
      <w:r w:rsidRPr="00E95B31">
        <w:rPr>
          <w:rFonts w:hint="eastAsia"/>
        </w:rPr>
        <w:t>、</w:t>
      </w:r>
      <w:r w:rsidRPr="00E95B31">
        <w:rPr>
          <w:rFonts w:hint="eastAsia"/>
        </w:rPr>
        <w:t>WP5C</w:t>
      </w:r>
      <w:r w:rsidRPr="00E95B31">
        <w:rPr>
          <w:rFonts w:hint="eastAsia"/>
        </w:rPr>
        <w:t>、</w:t>
      </w:r>
      <w:r w:rsidRPr="00E95B31">
        <w:rPr>
          <w:rFonts w:hint="eastAsia"/>
        </w:rPr>
        <w:t>WP5D</w:t>
      </w:r>
      <w:r w:rsidRPr="00E95B31">
        <w:rPr>
          <w:rFonts w:hint="eastAsia"/>
        </w:rPr>
        <w:t>にあてた</w:t>
      </w:r>
      <w:r w:rsidRPr="00E95B31">
        <w:rPr>
          <w:rFonts w:hint="eastAsia"/>
        </w:rPr>
        <w:t>LS</w:t>
      </w:r>
      <w:r w:rsidRPr="00E95B31">
        <w:rPr>
          <w:rFonts w:hint="eastAsia"/>
        </w:rPr>
        <w:t>文書</w:t>
      </w:r>
      <w:r w:rsidR="004D346C" w:rsidRPr="00E95B31">
        <w:rPr>
          <w:rFonts w:hint="eastAsia"/>
        </w:rPr>
        <w:t>（</w:t>
      </w:r>
      <w:r w:rsidR="004D346C" w:rsidRPr="00E95B31">
        <w:rPr>
          <w:rFonts w:hint="eastAsia"/>
        </w:rPr>
        <w:t>1/177</w:t>
      </w:r>
      <w:r w:rsidR="004D346C" w:rsidRPr="00E95B31">
        <w:rPr>
          <w:rFonts w:hint="eastAsia"/>
        </w:rPr>
        <w:t>）</w:t>
      </w:r>
      <w:r w:rsidRPr="00E95B31">
        <w:rPr>
          <w:rFonts w:hint="eastAsia"/>
        </w:rPr>
        <w:t>も特段の議論なく承認され、いずれも当該機関・組織に送付されることになった。</w:t>
      </w:r>
    </w:p>
    <w:p w:rsidR="00C4560F" w:rsidRPr="00B506D2" w:rsidRDefault="00C4560F" w:rsidP="00B506D2"/>
    <w:p w:rsidR="00A41C5A" w:rsidRPr="00B506D2" w:rsidRDefault="00A41C5A" w:rsidP="00B506D2"/>
    <w:p w:rsidR="00A41C5A" w:rsidRPr="00B506D2" w:rsidRDefault="00A41C5A" w:rsidP="00B506D2"/>
    <w:p w:rsidR="0070044C" w:rsidRPr="00B506D2" w:rsidRDefault="00EF68D6" w:rsidP="00F52CF5">
      <w:pPr>
        <w:pStyle w:val="a5"/>
      </w:pPr>
      <w:r w:rsidRPr="00B506D2">
        <w:br w:type="page"/>
      </w:r>
      <w:r w:rsidR="007841C8" w:rsidRPr="000A72A6">
        <w:rPr>
          <w:rFonts w:hint="eastAsia"/>
        </w:rPr>
        <w:t>入力文書一覧</w:t>
      </w:r>
    </w:p>
    <w:tbl>
      <w:tblPr>
        <w:tblW w:w="990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80"/>
        <w:gridCol w:w="990"/>
        <w:gridCol w:w="4590"/>
        <w:gridCol w:w="3240"/>
      </w:tblGrid>
      <w:tr w:rsidR="007328CF" w:rsidRPr="007328CF" w:rsidTr="00E95B31">
        <w:trPr>
          <w:cantSplit/>
          <w:tblHeader/>
        </w:trPr>
        <w:tc>
          <w:tcPr>
            <w:tcW w:w="1080" w:type="dxa"/>
            <w:tcBorders>
              <w:bottom w:val="double" w:sz="4" w:space="0" w:color="auto"/>
            </w:tcBorders>
            <w:vAlign w:val="center"/>
          </w:tcPr>
          <w:p w:rsidR="007328CF" w:rsidRPr="00E95B31" w:rsidRDefault="007328CF" w:rsidP="00E95B31">
            <w:pPr>
              <w:jc w:val="center"/>
              <w:rPr>
                <w:sz w:val="20"/>
                <w:szCs w:val="20"/>
              </w:rPr>
            </w:pPr>
            <w:r w:rsidRPr="00E95B31">
              <w:rPr>
                <w:rFonts w:hint="eastAsia"/>
                <w:sz w:val="20"/>
                <w:szCs w:val="20"/>
              </w:rPr>
              <w:t>文書番号</w:t>
            </w:r>
            <w:r w:rsidRPr="00E95B31">
              <w:rPr>
                <w:sz w:val="20"/>
                <w:szCs w:val="20"/>
              </w:rPr>
              <w:t>(SG1/##)</w:t>
            </w:r>
          </w:p>
        </w:tc>
        <w:tc>
          <w:tcPr>
            <w:tcW w:w="990" w:type="dxa"/>
            <w:tcBorders>
              <w:bottom w:val="double" w:sz="4" w:space="0" w:color="auto"/>
            </w:tcBorders>
            <w:vAlign w:val="center"/>
          </w:tcPr>
          <w:p w:rsidR="007328CF" w:rsidRPr="00E95B31" w:rsidRDefault="007328CF" w:rsidP="00E95B31">
            <w:pPr>
              <w:pStyle w:val="Style10pt"/>
            </w:pPr>
            <w:r w:rsidRPr="00E95B31">
              <w:rPr>
                <w:rFonts w:hint="eastAsia"/>
              </w:rPr>
              <w:t>提出元</w:t>
            </w:r>
          </w:p>
        </w:tc>
        <w:tc>
          <w:tcPr>
            <w:tcW w:w="7830" w:type="dxa"/>
            <w:gridSpan w:val="2"/>
            <w:tcBorders>
              <w:bottom w:val="double" w:sz="4" w:space="0" w:color="auto"/>
            </w:tcBorders>
            <w:vAlign w:val="center"/>
          </w:tcPr>
          <w:p w:rsidR="007328CF" w:rsidRPr="00E95B31" w:rsidRDefault="007328CF" w:rsidP="00E95B31">
            <w:pPr>
              <w:jc w:val="center"/>
              <w:rPr>
                <w:sz w:val="20"/>
                <w:szCs w:val="20"/>
              </w:rPr>
            </w:pPr>
            <w:r w:rsidRPr="00E95B31">
              <w:rPr>
                <w:rFonts w:hint="eastAsia"/>
                <w:sz w:val="20"/>
                <w:szCs w:val="20"/>
              </w:rPr>
              <w:t>表題</w:t>
            </w:r>
          </w:p>
        </w:tc>
      </w:tr>
      <w:tr w:rsidR="007328CF" w:rsidRPr="007328CF" w:rsidTr="00E95B31">
        <w:trPr>
          <w:cantSplit/>
          <w:trHeight w:val="86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137</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SG1</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Note from Study Group 6 to the RAG proposal for revision to the guidelines for the working methods and/or Resolution ITU-R 1</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ITU-R</w:t>
            </w:r>
            <w:r w:rsidRPr="007328CF">
              <w:t>決議メソッドのガイドライン改訂に関する</w:t>
            </w:r>
            <w:r w:rsidRPr="007328CF">
              <w:t>SG6</w:t>
            </w:r>
            <w:r w:rsidRPr="007328CF">
              <w:t>から</w:t>
            </w:r>
            <w:r w:rsidRPr="007328CF">
              <w:t>RAG</w:t>
            </w:r>
            <w:r w:rsidRPr="007328CF">
              <w:t>提案書への報告</w:t>
            </w:r>
          </w:p>
        </w:tc>
      </w:tr>
      <w:tr w:rsidR="007328CF" w:rsidRPr="007328CF" w:rsidTr="00E95B31">
        <w:trPr>
          <w:cantSplit/>
          <w:trHeight w:val="638"/>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138</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ITU-T SG15</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Liaison to ITU-R SG 5 and TSAG regarding narrowband wireless home networking</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狭帯域無線ホームネットワークに関する</w:t>
            </w:r>
            <w:r w:rsidRPr="007328CF">
              <w:t>ITU-R SG5</w:t>
            </w:r>
            <w:r w:rsidRPr="007328CF">
              <w:t>と</w:t>
            </w:r>
            <w:r w:rsidRPr="007328CF">
              <w:t>TSAG</w:t>
            </w:r>
            <w:r w:rsidRPr="007328CF">
              <w:t>へのリエゾン文書</w:t>
            </w:r>
          </w:p>
        </w:tc>
      </w:tr>
      <w:tr w:rsidR="007328CF" w:rsidRPr="007328CF" w:rsidTr="00E95B31">
        <w:trPr>
          <w:cantSplit/>
          <w:trHeight w:val="773"/>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139</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ITU-T SG15</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Liaison statement - New versions of the Access Network Transport</w:t>
            </w:r>
            <w:r w:rsidRPr="007328CF">
              <w:rPr>
                <w:rFonts w:hint="eastAsia"/>
              </w:rPr>
              <w:t>（</w:t>
            </w:r>
            <w:r w:rsidRPr="007328CF">
              <w:t>ANT</w:t>
            </w:r>
            <w:r w:rsidRPr="007328CF">
              <w:rPr>
                <w:rFonts w:hint="eastAsia"/>
              </w:rPr>
              <w:t>）</w:t>
            </w:r>
            <w:r w:rsidRPr="007328CF">
              <w:t xml:space="preserve"> Standardization Overview and Work Plan</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ANT</w:t>
            </w:r>
            <w:r w:rsidRPr="007328CF">
              <w:t>標準化改訂版に関するリエゾン文書</w:t>
            </w:r>
          </w:p>
        </w:tc>
      </w:tr>
      <w:tr w:rsidR="007328CF" w:rsidRPr="007328CF" w:rsidTr="00E95B31">
        <w:trPr>
          <w:cantSplit/>
          <w:trHeight w:val="705"/>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140</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t xml:space="preserve">BR </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ITU-R Study Group 6 Question 32-1/6 to be brought to the attention of ITU-R Study Groups 1 and 5</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ITU-R SG6</w:t>
            </w:r>
            <w:r w:rsidRPr="007328CF">
              <w:t>質問</w:t>
            </w:r>
            <w:r w:rsidRPr="007328CF">
              <w:t>32-1/6</w:t>
            </w:r>
            <w:r w:rsidRPr="007328CF">
              <w:t>の</w:t>
            </w:r>
            <w:r w:rsidRPr="007328CF">
              <w:t>ITU-R SG1</w:t>
            </w:r>
            <w:r w:rsidRPr="007328CF">
              <w:t>と</w:t>
            </w:r>
            <w:r w:rsidRPr="007328CF">
              <w:t>SG5</w:t>
            </w:r>
            <w:r w:rsidRPr="007328CF">
              <w:t>への共有</w:t>
            </w:r>
          </w:p>
        </w:tc>
      </w:tr>
      <w:tr w:rsidR="007328CF" w:rsidRPr="007328CF" w:rsidTr="00E95B31">
        <w:trPr>
          <w:cantSplit/>
          <w:trHeight w:val="1058"/>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141</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5D</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Liaison statement to ITU-T Study Group 15 on narrowband wireless home networking</w:t>
            </w:r>
            <w:r w:rsidRPr="007328CF">
              <w:rPr>
                <w:rFonts w:hint="eastAsia"/>
              </w:rPr>
              <w:t>（</w:t>
            </w:r>
            <w:r w:rsidRPr="007328CF">
              <w:t>copy to ITU-R Study Group 1 and Working Party 5A for information</w:t>
            </w:r>
            <w:r w:rsidRPr="007328CF">
              <w:rPr>
                <w:rFonts w:hint="eastAsia"/>
              </w:rPr>
              <w:t>）</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狭帯域無線ホームネットワークに関する</w:t>
            </w:r>
            <w:r w:rsidRPr="007328CF">
              <w:t>ITU-T15</w:t>
            </w:r>
            <w:r w:rsidRPr="007328CF">
              <w:t>へのリエゾン文書（</w:t>
            </w:r>
            <w:r w:rsidRPr="007328CF">
              <w:t>ITU-R SG1</w:t>
            </w:r>
            <w:r w:rsidRPr="007328CF">
              <w:t>と</w:t>
            </w:r>
            <w:r w:rsidRPr="007328CF">
              <w:t>WP 5A</w:t>
            </w:r>
            <w:r w:rsidRPr="007328CF">
              <w:t>に写し）</w:t>
            </w:r>
          </w:p>
        </w:tc>
      </w:tr>
      <w:tr w:rsidR="007328CF" w:rsidRPr="007328CF" w:rsidTr="00E95B31">
        <w:trPr>
          <w:cantSplit/>
          <w:trHeight w:val="894"/>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142</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ITU-T SG5</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Liaison statement to ITU-R Study Group 1 and Study Group 5 regarding </w:t>
            </w:r>
            <w:proofErr w:type="spellStart"/>
            <w:r w:rsidRPr="007328CF">
              <w:t>G.wnb</w:t>
            </w:r>
            <w:proofErr w:type="spellEnd"/>
            <w:r w:rsidRPr="007328CF">
              <w:t>, narrowband wireless home networking</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狭帯域無線ホームネットワークに関する</w:t>
            </w:r>
            <w:r w:rsidRPr="007328CF">
              <w:t xml:space="preserve">ITU-R SG1 </w:t>
            </w:r>
            <w:r w:rsidRPr="007328CF">
              <w:t>と</w:t>
            </w:r>
            <w:r w:rsidRPr="007328CF">
              <w:t>SG5</w:t>
            </w:r>
            <w:r w:rsidRPr="007328CF">
              <w:t>へのリエゾン文書</w:t>
            </w:r>
          </w:p>
        </w:tc>
      </w:tr>
      <w:tr w:rsidR="007328CF" w:rsidRPr="007328CF" w:rsidTr="00E95B31">
        <w:trPr>
          <w:cantSplit/>
          <w:trHeight w:val="51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143</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CISPR</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Liaison to ITU-R on protection of radio services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無線業務保護に関する</w:t>
            </w:r>
            <w:r w:rsidRPr="007328CF">
              <w:t>ITU-R</w:t>
            </w:r>
            <w:r w:rsidRPr="007328CF">
              <w:t>へのリエゾン文書</w:t>
            </w:r>
          </w:p>
        </w:tc>
      </w:tr>
      <w:tr w:rsidR="007328CF" w:rsidRPr="007328CF" w:rsidTr="00E95B31">
        <w:trPr>
          <w:cantSplit/>
          <w:trHeight w:val="881"/>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144</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t xml:space="preserve">BR </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ITU-R Study Group 5 Recommendation ITU-R M.1177-4 to be brought to the attention of Study Groups 1 and 4 </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 xml:space="preserve">ITU-R SG5 </w:t>
            </w:r>
            <w:r w:rsidRPr="007328CF">
              <w:t>勧告</w:t>
            </w:r>
            <w:r w:rsidRPr="007328CF">
              <w:t>ITU-R M.1177-4</w:t>
            </w:r>
            <w:r w:rsidRPr="007328CF">
              <w:t>の</w:t>
            </w:r>
            <w:r w:rsidRPr="007328CF">
              <w:t>SG1</w:t>
            </w:r>
            <w:r w:rsidRPr="007328CF">
              <w:t>と</w:t>
            </w:r>
            <w:r w:rsidRPr="007328CF">
              <w:t>SG4</w:t>
            </w:r>
            <w:r w:rsidRPr="007328CF">
              <w:t>への共有</w:t>
            </w:r>
          </w:p>
        </w:tc>
      </w:tr>
      <w:tr w:rsidR="007328CF" w:rsidRPr="007328CF" w:rsidTr="00E95B31">
        <w:trPr>
          <w:cantSplit/>
          <w:trHeight w:val="858"/>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145</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Korea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Status and comments on the ITU-R Questions, Recommendations and Reports assigned to the Study Group 1</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ITU-R</w:t>
            </w:r>
            <w:r w:rsidRPr="007328CF">
              <w:t>勧告、決議、課題の</w:t>
            </w:r>
            <w:r w:rsidRPr="007328CF">
              <w:t>SG1</w:t>
            </w:r>
            <w:r w:rsidRPr="007328CF">
              <w:t>担当箇所に関する状況とコメント</w:t>
            </w:r>
          </w:p>
        </w:tc>
      </w:tr>
      <w:tr w:rsidR="007328CF" w:rsidRPr="007328CF" w:rsidTr="00E95B31">
        <w:trPr>
          <w:cantSplit/>
          <w:trHeight w:val="115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146</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IEEE</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Wireless telecommunication standards under development by IEEE 802 containing cognitive radio capabilities for operation in the TV White Space </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ホワイトスペースにおけるコグニティブ無線の運用可能性を含めた</w:t>
            </w:r>
            <w:r w:rsidRPr="007328CF">
              <w:t>IEEE802</w:t>
            </w:r>
            <w:r w:rsidRPr="007328CF">
              <w:t>による無線通信標準化</w:t>
            </w:r>
          </w:p>
        </w:tc>
      </w:tr>
      <w:tr w:rsidR="007328CF" w:rsidRPr="007328CF" w:rsidTr="00E95B31">
        <w:trPr>
          <w:cantSplit/>
          <w:trHeight w:val="71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147</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TSB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Information document from TSB Director on "ITU-T activities on ICT, climate change and the environment</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w:t>
            </w:r>
            <w:r w:rsidRPr="007328CF">
              <w:t>ICT</w:t>
            </w:r>
            <w:r w:rsidRPr="007328CF">
              <w:t>、気候変動、環境に関連する</w:t>
            </w:r>
            <w:r w:rsidRPr="007328CF">
              <w:t>ITU-T</w:t>
            </w:r>
            <w:r w:rsidRPr="007328CF">
              <w:t>の活動」に関する</w:t>
            </w:r>
            <w:r w:rsidRPr="007328CF">
              <w:t>TSB</w:t>
            </w:r>
            <w:r w:rsidRPr="007328CF">
              <w:t>局長からの</w:t>
            </w:r>
            <w:r w:rsidRPr="007328CF">
              <w:t>INFO</w:t>
            </w:r>
            <w:r w:rsidRPr="007328CF">
              <w:t>文書</w:t>
            </w:r>
          </w:p>
        </w:tc>
      </w:tr>
      <w:tr w:rsidR="007328CF" w:rsidRPr="007328CF" w:rsidTr="00E95B31">
        <w:trPr>
          <w:cantSplit/>
          <w:trHeight w:val="914"/>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148</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Russia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Proposal with respect to possible the draft new ITU-R Resolution [CRS] "Studies on the implementation and use of cognitive radio systems"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新</w:t>
            </w:r>
            <w:r w:rsidRPr="007328CF">
              <w:t>ITU-R</w:t>
            </w:r>
            <w:r w:rsidRPr="007328CF">
              <w:t>決議（</w:t>
            </w:r>
            <w:r w:rsidRPr="007328CF">
              <w:t>CRS</w:t>
            </w:r>
            <w:r w:rsidRPr="007328CF">
              <w:t>）案「コグニティブ無線システムの導入と利用に関する研究］に関する提案書</w:t>
            </w:r>
          </w:p>
        </w:tc>
      </w:tr>
      <w:tr w:rsidR="007328CF" w:rsidRPr="007328CF" w:rsidTr="00E95B31">
        <w:trPr>
          <w:cantSplit/>
          <w:trHeight w:val="1099"/>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149</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Report ITU-R SM.2153-1 - Technical and operating parameters and spectrum use for short-range radiocommunication devices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報告書</w:t>
            </w:r>
            <w:r w:rsidRPr="007328CF">
              <w:t>ITU-R</w:t>
            </w:r>
            <w:r w:rsidRPr="007328CF">
              <w:t xml:space="preserve">　</w:t>
            </w:r>
            <w:r w:rsidRPr="007328CF">
              <w:t>SM.2153-1</w:t>
            </w:r>
            <w:r w:rsidRPr="007328CF">
              <w:t>の</w:t>
            </w:r>
            <w:r w:rsidRPr="007328CF">
              <w:rPr>
                <w:rFonts w:hint="eastAsia"/>
              </w:rPr>
              <w:t>改定</w:t>
            </w:r>
            <w:r w:rsidRPr="007328CF">
              <w:t xml:space="preserve">案　</w:t>
            </w:r>
            <w:r w:rsidRPr="007328CF">
              <w:t xml:space="preserve">– </w:t>
            </w:r>
            <w:r w:rsidRPr="007328CF">
              <w:t>短距離無線機器の技術的・運用パラメータと周波数利用</w:t>
            </w:r>
          </w:p>
        </w:tc>
      </w:tr>
      <w:tr w:rsidR="007328CF" w:rsidRPr="007328CF" w:rsidTr="00E95B31">
        <w:trPr>
          <w:cantSplit/>
          <w:trHeight w:val="89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150</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Recommendation ITU-R SM.1839 - Test procedure for measuring the scanning speed of radio monitoring receivers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SM.1839</w:t>
            </w:r>
            <w:r w:rsidRPr="007328CF">
              <w:t>の改定案</w:t>
            </w:r>
            <w:r w:rsidRPr="007328CF">
              <w:t xml:space="preserve"> – </w:t>
            </w:r>
            <w:r w:rsidRPr="007328CF">
              <w:t>無線モニター受信機の速度測定試験法</w:t>
            </w:r>
          </w:p>
        </w:tc>
      </w:tr>
      <w:tr w:rsidR="007328CF" w:rsidRPr="007328CF" w:rsidTr="00E95B31">
        <w:trPr>
          <w:cantSplit/>
          <w:trHeight w:val="464"/>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151</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Draft editorial revision of Recommendation ITU-R SM.1135 </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SM.1135</w:t>
            </w:r>
            <w:r w:rsidRPr="007328CF">
              <w:t>の編集改定案</w:t>
            </w:r>
          </w:p>
        </w:tc>
      </w:tr>
      <w:tr w:rsidR="007328CF" w:rsidRPr="007328CF" w:rsidTr="00E95B31">
        <w:trPr>
          <w:cantSplit/>
          <w:trHeight w:val="833"/>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152</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Recommendation ITU-R SM.854-2 - Direction finding and location determination at monitoring stations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SM.854-2</w:t>
            </w:r>
            <w:r w:rsidRPr="007328CF">
              <w:t>の改定案</w:t>
            </w:r>
            <w:r w:rsidRPr="007328CF">
              <w:t xml:space="preserve"> - </w:t>
            </w:r>
            <w:r w:rsidRPr="007328CF">
              <w:t>監視局における方角および位置特定</w:t>
            </w:r>
          </w:p>
        </w:tc>
      </w:tr>
      <w:tr w:rsidR="007328CF" w:rsidRPr="007328CF" w:rsidTr="00E95B31">
        <w:trPr>
          <w:cantSplit/>
          <w:trHeight w:val="451"/>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153</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new Report ITU-R SM.[WRC-12-1.22]</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t>新</w:t>
            </w:r>
            <w:r>
              <w:rPr>
                <w:rFonts w:hint="eastAsia"/>
              </w:rPr>
              <w:t>報告</w:t>
            </w:r>
            <w:r w:rsidRPr="007328CF">
              <w:t>書案</w:t>
            </w:r>
            <w:r w:rsidRPr="007328CF">
              <w:t>ITU-R SM.</w:t>
            </w:r>
            <w:r w:rsidRPr="007328CF">
              <w:t>（</w:t>
            </w:r>
            <w:r w:rsidRPr="007328CF">
              <w:t>WRC-12-1.22</w:t>
            </w:r>
            <w:r w:rsidRPr="007328CF">
              <w:t>）</w:t>
            </w:r>
          </w:p>
        </w:tc>
      </w:tr>
      <w:tr w:rsidR="007328CF" w:rsidRPr="007328CF" w:rsidTr="00E95B31">
        <w:trPr>
          <w:cantSplit/>
          <w:trHeight w:val="100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154</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Draft modification of Annex 8 to Recommendation ITU-R SM.1541-3 - </w:t>
            </w:r>
            <w:proofErr w:type="spellStart"/>
            <w:r w:rsidRPr="007328CF">
              <w:t>OoB</w:t>
            </w:r>
            <w:proofErr w:type="spellEnd"/>
            <w:r w:rsidRPr="007328CF">
              <w:t xml:space="preserve"> domain emission limits for primary radar systems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SM.1541-3</w:t>
            </w:r>
            <w:r w:rsidRPr="007328CF">
              <w:t>の</w:t>
            </w:r>
            <w:r w:rsidRPr="007328CF">
              <w:t>Annex8</w:t>
            </w:r>
            <w:r w:rsidRPr="007328CF">
              <w:t>の修正案</w:t>
            </w:r>
            <w:r w:rsidRPr="007328CF">
              <w:t xml:space="preserve"> – </w:t>
            </w:r>
            <w:r w:rsidRPr="007328CF">
              <w:t>一次レーダーシステムの</w:t>
            </w:r>
            <w:proofErr w:type="spellStart"/>
            <w:r w:rsidRPr="007328CF">
              <w:t>OoB</w:t>
            </w:r>
            <w:proofErr w:type="spellEnd"/>
            <w:r w:rsidRPr="007328CF">
              <w:t>領域放射制限</w:t>
            </w:r>
          </w:p>
        </w:tc>
      </w:tr>
      <w:tr w:rsidR="007328CF" w:rsidRPr="007328CF" w:rsidTr="00E95B31">
        <w:trPr>
          <w:cantSplit/>
          <w:trHeight w:val="88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155</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modification of Recommendation ITU-R SM.329-11 - Unwanted emissions in the spurious domain</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SM.329-11</w:t>
            </w:r>
            <w:r w:rsidRPr="007328CF">
              <w:t>の修正案</w:t>
            </w:r>
            <w:r w:rsidRPr="007328CF">
              <w:t xml:space="preserve"> – </w:t>
            </w:r>
            <w:r w:rsidRPr="007328CF">
              <w:t>スプリアス領域における不要輻射</w:t>
            </w:r>
          </w:p>
        </w:tc>
      </w:tr>
      <w:tr w:rsidR="007328CF" w:rsidRPr="007328CF" w:rsidTr="00E95B31">
        <w:trPr>
          <w:cantSplit/>
          <w:trHeight w:val="1397"/>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156</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new Question ITU-R [PWRGRD]/1 - Impact on radiocommunication systems from wireless and wired data transmission technologies used for the support of power grid management systems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新課題</w:t>
            </w:r>
            <w:r w:rsidRPr="007328CF">
              <w:t>ITU-R [PWRGRD]/1</w:t>
            </w:r>
            <w:r w:rsidRPr="007328CF">
              <w:t>案</w:t>
            </w:r>
            <w:r w:rsidRPr="007328CF">
              <w:t xml:space="preserve"> – </w:t>
            </w:r>
            <w:r w:rsidRPr="007328CF">
              <w:t>電力グリッド管理システムに利用する無線</w:t>
            </w:r>
            <w:r w:rsidRPr="007328CF">
              <w:t>/</w:t>
            </w:r>
            <w:r w:rsidRPr="007328CF">
              <w:t>有線データ移送技術の無線システムへの影響</w:t>
            </w:r>
          </w:p>
        </w:tc>
      </w:tr>
      <w:tr w:rsidR="007328CF" w:rsidRPr="007328CF" w:rsidTr="00E95B31">
        <w:trPr>
          <w:cantSplit/>
          <w:trHeight w:val="665"/>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157</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Draft revision of Recommendation ITU-R SM.1723-1 - </w:t>
            </w:r>
            <w:smartTag w:uri="urn:schemas-microsoft-com:office:smarttags" w:element="place">
              <w:r w:rsidRPr="007328CF">
                <w:t>Mobile</w:t>
              </w:r>
            </w:smartTag>
            <w:r w:rsidRPr="007328CF">
              <w:t xml:space="preserve"> spectrum monitoring unit</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TU-R SM.1723-1</w:t>
            </w:r>
            <w:r w:rsidRPr="007328CF">
              <w:t>の改定案</w:t>
            </w:r>
            <w:r w:rsidRPr="007328CF">
              <w:t xml:space="preserve"> – </w:t>
            </w:r>
            <w:r w:rsidRPr="007328CF">
              <w:t>移動周波数監視ユニット</w:t>
            </w:r>
          </w:p>
        </w:tc>
      </w:tr>
      <w:tr w:rsidR="007328CF" w:rsidRPr="007328CF" w:rsidTr="00E95B31">
        <w:trPr>
          <w:cantSplit/>
          <w:trHeight w:val="893"/>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158</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Proposed extension of the completion date and suppression of ITU-R Questions assigned to Working Party 1C</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WP1C</w:t>
            </w:r>
            <w:r w:rsidRPr="007328CF">
              <w:t>担当の</w:t>
            </w:r>
            <w:r w:rsidRPr="007328CF">
              <w:t>ITU-R</w:t>
            </w:r>
            <w:r w:rsidRPr="007328CF">
              <w:t>課題の完了日延期と削除の提案</w:t>
            </w:r>
          </w:p>
        </w:tc>
      </w:tr>
      <w:tr w:rsidR="007328CF" w:rsidRPr="007328CF" w:rsidTr="00E95B31">
        <w:trPr>
          <w:cantSplit/>
          <w:trHeight w:val="1023"/>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159</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modification of Report ITU-R SM.2125 - Parameters of and measurement procedures on H/V/UHF monitoring receivers and stations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報告書</w:t>
            </w:r>
            <w:r w:rsidRPr="007328CF">
              <w:t>ITU-R SM.2125</w:t>
            </w:r>
            <w:r w:rsidRPr="007328CF">
              <w:t>の修正案</w:t>
            </w:r>
            <w:r w:rsidRPr="007328CF">
              <w:t xml:space="preserve"> - H/V/UHF</w:t>
            </w:r>
            <w:r w:rsidRPr="007328CF">
              <w:t>モニター受信機</w:t>
            </w:r>
            <w:r w:rsidRPr="007328CF">
              <w:t>/</w:t>
            </w:r>
            <w:r w:rsidRPr="007328CF">
              <w:t>受信局のパラメータと測定法</w:t>
            </w:r>
          </w:p>
        </w:tc>
      </w:tr>
      <w:tr w:rsidR="007328CF" w:rsidRPr="007328CF" w:rsidTr="00E95B31">
        <w:trPr>
          <w:cantSplit/>
          <w:trHeight w:val="887"/>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160</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Recommendation ITU-R SM.1682 - Methods for measurements on digital broadcasting signals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SM.1682</w:t>
            </w:r>
            <w:r w:rsidRPr="007328CF">
              <w:t>の改定案</w:t>
            </w:r>
            <w:r w:rsidRPr="007328CF">
              <w:t xml:space="preserve"> – </w:t>
            </w:r>
            <w:r w:rsidRPr="007328CF">
              <w:t>デジタル放送信号の測定法</w:t>
            </w:r>
          </w:p>
        </w:tc>
      </w:tr>
      <w:tr w:rsidR="007328CF" w:rsidRPr="007328CF" w:rsidTr="00E95B31">
        <w:trPr>
          <w:cantSplit/>
          <w:trHeight w:val="103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sz w:val="20"/>
                <w:szCs w:val="20"/>
              </w:rPr>
              <w:t>161</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Recommendation ITU-R SM.1708 - Field-strength measurements along a route with geographical coordinate registrations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ITU-R SM.1708</w:t>
            </w:r>
            <w:r w:rsidRPr="007328CF">
              <w:t>の改定案</w:t>
            </w:r>
            <w:r w:rsidRPr="007328CF">
              <w:t xml:space="preserve"> </w:t>
            </w:r>
          </w:p>
        </w:tc>
      </w:tr>
      <w:tr w:rsidR="007328CF" w:rsidRPr="007328CF" w:rsidTr="00E95B31">
        <w:trPr>
          <w:cantSplit/>
          <w:trHeight w:val="896"/>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162</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new Report ITU-R SM.[TDOA-AOA] - Comparison of time-difference-of-arrival and angle-of-arrival methods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新報告書</w:t>
            </w:r>
            <w:r w:rsidRPr="007328CF">
              <w:t>ITU-R SM.</w:t>
            </w:r>
            <w:r w:rsidRPr="007328CF">
              <w:t>（</w:t>
            </w:r>
            <w:r w:rsidRPr="007328CF">
              <w:t>TDOA-AOA</w:t>
            </w:r>
            <w:r w:rsidRPr="007328CF">
              <w:t>）案</w:t>
            </w:r>
          </w:p>
        </w:tc>
      </w:tr>
      <w:tr w:rsidR="007328CF" w:rsidRPr="007328CF" w:rsidTr="00E95B31">
        <w:trPr>
          <w:cantSplit/>
          <w:trHeight w:val="89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163</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Resolution ITU-R 23-1 - Extension of the international monitoring system to a worldwide scale</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決議</w:t>
            </w:r>
            <w:r w:rsidRPr="007328CF">
              <w:t>ITU-R 23-1</w:t>
            </w:r>
            <w:r w:rsidRPr="007328CF">
              <w:t>の改定案</w:t>
            </w:r>
            <w:r w:rsidRPr="007328CF">
              <w:t xml:space="preserve"> – </w:t>
            </w:r>
            <w:r w:rsidRPr="007328CF">
              <w:t>国際監視システムの拡張</w:t>
            </w:r>
          </w:p>
        </w:tc>
      </w:tr>
      <w:tr w:rsidR="007328CF" w:rsidRPr="007328CF" w:rsidTr="00E95B31">
        <w:trPr>
          <w:cantSplit/>
          <w:trHeight w:val="71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164</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Question ITU-R 233/1 - Measurement of spectrum occupancy</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課題</w:t>
            </w:r>
            <w:r w:rsidRPr="007328CF">
              <w:t>ITU-R 233/1</w:t>
            </w:r>
            <w:r w:rsidRPr="007328CF">
              <w:t>の改定案</w:t>
            </w:r>
            <w:r w:rsidRPr="007328CF">
              <w:t xml:space="preserve"> – </w:t>
            </w:r>
            <w:r w:rsidRPr="007328CF">
              <w:t>周波数占有率の測定</w:t>
            </w:r>
          </w:p>
        </w:tc>
      </w:tr>
      <w:tr w:rsidR="007328CF" w:rsidRPr="007328CF" w:rsidTr="00E95B31">
        <w:trPr>
          <w:cantSplit/>
          <w:trHeight w:val="674"/>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165</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1C</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Executive Report of the meeting of Working Party 1C</w:t>
            </w:r>
            <w:r w:rsidRPr="007328CF">
              <w:rPr>
                <w:rFonts w:hint="eastAsia"/>
              </w:rPr>
              <w:t>（</w:t>
            </w:r>
            <w:r w:rsidRPr="007328CF">
              <w:t>25 May - 1 June 2011</w:t>
            </w:r>
            <w:r w:rsidRPr="007328CF">
              <w:rPr>
                <w:rFonts w:hint="eastAsia"/>
              </w:rPr>
              <w:t>）</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WP 1C</w:t>
            </w:r>
            <w:r w:rsidRPr="007328CF">
              <w:t>会合議長報告書</w:t>
            </w:r>
          </w:p>
        </w:tc>
      </w:tr>
      <w:tr w:rsidR="007328CF" w:rsidRPr="007328CF" w:rsidTr="00E95B31">
        <w:trPr>
          <w:cantSplit/>
          <w:trHeight w:val="1249"/>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166</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modification of Report ITU-R SM.2158-1 - Impact of power line telecommunication systems on radiocommunication systems operating in the LF, MF, HF and VHF bands below 80 MHz</w:t>
            </w:r>
          </w:p>
        </w:tc>
        <w:tc>
          <w:tcPr>
            <w:tcW w:w="3240" w:type="dxa"/>
            <w:tcBorders>
              <w:top w:val="dotted" w:sz="4" w:space="0" w:color="auto"/>
              <w:left w:val="dotted" w:sz="4" w:space="0" w:color="auto"/>
              <w:bottom w:val="dotted" w:sz="4" w:space="0" w:color="auto"/>
            </w:tcBorders>
            <w:vAlign w:val="center"/>
          </w:tcPr>
          <w:p w:rsidR="007328CF" w:rsidRPr="009B673C" w:rsidRDefault="007328CF" w:rsidP="00E95B31">
            <w:pPr>
              <w:pStyle w:val="Style10pt"/>
            </w:pPr>
            <w:r w:rsidRPr="009B673C">
              <w:t>報告書</w:t>
            </w:r>
            <w:r w:rsidRPr="009B673C">
              <w:t>ITU-R SM.2158-1</w:t>
            </w:r>
            <w:r w:rsidRPr="009B673C">
              <w:t>の修正案</w:t>
            </w:r>
            <w:r w:rsidRPr="009B673C">
              <w:t xml:space="preserve"> – 80MHz</w:t>
            </w:r>
            <w:r w:rsidRPr="009B673C">
              <w:t>以下の</w:t>
            </w:r>
            <w:r w:rsidRPr="009B673C">
              <w:t>LF/MF/HF/VHF</w:t>
            </w:r>
            <w:r w:rsidRPr="009B673C">
              <w:t>周波数帯において運用される無線通信システムへの</w:t>
            </w:r>
            <w:r w:rsidRPr="009B673C">
              <w:t>PLT</w:t>
            </w:r>
            <w:r w:rsidRPr="009B673C">
              <w:t>システムの影響</w:t>
            </w:r>
          </w:p>
        </w:tc>
      </w:tr>
      <w:tr w:rsidR="007328CF" w:rsidRPr="007328CF" w:rsidTr="00E95B31">
        <w:trPr>
          <w:cantSplit/>
          <w:trHeight w:val="111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167</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revision of Recommendation ITU-R SM.1879 - The impact of power line high data rate telecommunication systems on radiocommunication systems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勧告</w:t>
            </w:r>
            <w:r w:rsidRPr="007328CF">
              <w:t>Recommendation ITU-R SM.1879</w:t>
            </w:r>
            <w:r w:rsidRPr="007328CF">
              <w:t>の改定案</w:t>
            </w:r>
            <w:r w:rsidRPr="007328CF">
              <w:t xml:space="preserve"> – </w:t>
            </w:r>
            <w:r w:rsidRPr="007328CF">
              <w:t>無線システムへの</w:t>
            </w:r>
            <w:r w:rsidRPr="007328CF">
              <w:t>PLT</w:t>
            </w:r>
            <w:r w:rsidRPr="007328CF">
              <w:t>システムの影響</w:t>
            </w:r>
          </w:p>
        </w:tc>
      </w:tr>
      <w:tr w:rsidR="007328CF" w:rsidRPr="007328CF" w:rsidTr="00E95B31">
        <w:trPr>
          <w:cantSplit/>
          <w:trHeight w:val="71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168</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Executive Report of the meeting of Working Party 1A</w:t>
            </w:r>
            <w:r w:rsidRPr="007328CF">
              <w:rPr>
                <w:rFonts w:hint="eastAsia"/>
              </w:rPr>
              <w:t>（</w:t>
            </w:r>
            <w:r w:rsidRPr="007328CF">
              <w:t>Geneva, 25 May - 1 June 2011</w:t>
            </w:r>
            <w:r w:rsidRPr="007328CF">
              <w:rPr>
                <w:rFonts w:hint="eastAsia"/>
              </w:rPr>
              <w:t>）</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WP 1A</w:t>
            </w:r>
            <w:r w:rsidRPr="007328CF">
              <w:t>会合の議長報告書</w:t>
            </w:r>
          </w:p>
        </w:tc>
      </w:tr>
      <w:tr w:rsidR="007328CF" w:rsidRPr="007328CF" w:rsidTr="00E95B31">
        <w:trPr>
          <w:cantSplit/>
          <w:trHeight w:val="941"/>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169</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WPs 1A, 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reply liaison statement from SG 1 to Subcommittee H of CISPR - Limits for the protection of radio services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SG1</w:t>
            </w:r>
            <w:r w:rsidRPr="007328CF">
              <w:t>から</w:t>
            </w:r>
            <w:r w:rsidRPr="007328CF">
              <w:t>CISPR</w:t>
            </w:r>
            <w:r w:rsidRPr="007328CF">
              <w:t>サブ委員会</w:t>
            </w:r>
            <w:r w:rsidRPr="007328CF">
              <w:t>H</w:t>
            </w:r>
            <w:r w:rsidRPr="007328CF">
              <w:t>へのリエゾン文書の回答案</w:t>
            </w:r>
            <w:r w:rsidRPr="007328CF">
              <w:t xml:space="preserve"> – </w:t>
            </w:r>
            <w:r w:rsidRPr="007328CF">
              <w:t>無線業務保護の制限</w:t>
            </w:r>
          </w:p>
        </w:tc>
      </w:tr>
      <w:tr w:rsidR="007328CF" w:rsidRPr="007328CF" w:rsidTr="00E95B31">
        <w:trPr>
          <w:cantSplit/>
          <w:trHeight w:val="351"/>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170</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Editorial update of seven ITU-R Recommendations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7</w:t>
            </w:r>
            <w:r w:rsidRPr="007328CF">
              <w:t>つの</w:t>
            </w:r>
            <w:r w:rsidRPr="007328CF">
              <w:t>ITU-R</w:t>
            </w:r>
            <w:r w:rsidRPr="007328CF">
              <w:t>勧告の編集更新</w:t>
            </w:r>
            <w:r w:rsidRPr="007328CF">
              <w:t xml:space="preserve"> </w:t>
            </w:r>
          </w:p>
        </w:tc>
      </w:tr>
      <w:tr w:rsidR="007328CF" w:rsidRPr="007328CF" w:rsidTr="00E95B31">
        <w:trPr>
          <w:cantSplit/>
          <w:trHeight w:val="1413"/>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171</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Draft new Report ITU-R SM.[PLT+80 MHz] - Impact of power line telecommunication systems on radiocommunication systems operating in the VHF and UHF bands above 80 MHz </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新報告書</w:t>
            </w:r>
            <w:r w:rsidRPr="007328CF">
              <w:t>ITU-R SM.</w:t>
            </w:r>
            <w:r w:rsidRPr="007328CF">
              <w:t>（</w:t>
            </w:r>
            <w:r w:rsidRPr="007328CF">
              <w:t>PLT+80 MHz</w:t>
            </w:r>
            <w:r w:rsidRPr="007328CF">
              <w:t>）案</w:t>
            </w:r>
          </w:p>
        </w:tc>
      </w:tr>
      <w:tr w:rsidR="007328CF" w:rsidRPr="007328CF" w:rsidTr="00E95B31">
        <w:trPr>
          <w:cantSplit/>
          <w:trHeight w:val="694"/>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172</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1A</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 xml:space="preserve">Proposed extension of the completion date of ITU-R Questions assigned to Working Party 1A </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WP1A</w:t>
            </w:r>
            <w:r w:rsidRPr="007328CF">
              <w:t>担当の</w:t>
            </w:r>
            <w:r w:rsidRPr="007328CF">
              <w:t>ITU-R</w:t>
            </w:r>
            <w:r w:rsidRPr="007328CF">
              <w:t>課題の</w:t>
            </w:r>
            <w:r w:rsidR="00E11D64">
              <w:rPr>
                <w:rFonts w:hint="eastAsia"/>
              </w:rPr>
              <w:t>延長の提案</w:t>
            </w:r>
          </w:p>
        </w:tc>
      </w:tr>
      <w:tr w:rsidR="007328CF" w:rsidRPr="007328CF" w:rsidTr="00E95B31">
        <w:trPr>
          <w:cantSplit/>
          <w:trHeight w:val="715"/>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173</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Executive Report of the meeting of Working Party 1B</w:t>
            </w:r>
            <w:r w:rsidRPr="007328CF">
              <w:rPr>
                <w:rFonts w:hint="eastAsia"/>
              </w:rPr>
              <w:t>（</w:t>
            </w:r>
            <w:r w:rsidRPr="007328CF">
              <w:t>Geneva, 25 May - 1 June 2011</w:t>
            </w:r>
            <w:r w:rsidRPr="007328CF">
              <w:rPr>
                <w:rFonts w:hint="eastAsia"/>
              </w:rPr>
              <w:t>）</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WP 1B</w:t>
            </w:r>
            <w:r w:rsidRPr="007328CF">
              <w:t>会合の議長報告書</w:t>
            </w:r>
          </w:p>
        </w:tc>
      </w:tr>
      <w:tr w:rsidR="007328CF" w:rsidRPr="007328CF" w:rsidTr="00E95B31">
        <w:trPr>
          <w:cantSplit/>
          <w:trHeight w:val="1082"/>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174</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reply liaison statement from ITU-R Study Group 1 to ITU-T Study Group 15 regarding G.WNB, narrowband wireless home networking</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G.WNB</w:t>
            </w:r>
            <w:r w:rsidRPr="007328CF">
              <w:t>に関する</w:t>
            </w:r>
            <w:r w:rsidRPr="007328CF">
              <w:t>ITU-R SG1</w:t>
            </w:r>
            <w:r w:rsidRPr="007328CF">
              <w:t>から</w:t>
            </w:r>
            <w:r w:rsidRPr="007328CF">
              <w:t>ITU-T SG15</w:t>
            </w:r>
            <w:r w:rsidRPr="007328CF">
              <w:t>へのリエゾン文書回答案</w:t>
            </w:r>
            <w:r w:rsidRPr="007328CF">
              <w:t xml:space="preserve"> </w:t>
            </w:r>
          </w:p>
        </w:tc>
      </w:tr>
      <w:tr w:rsidR="007328CF" w:rsidRPr="007328CF" w:rsidTr="00E95B31">
        <w:trPr>
          <w:cantSplit/>
          <w:trHeight w:val="629"/>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175</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Preliminary Draft new Resolution ITU-R [CRS] - Studies on the implementation and use of cognitive</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新決議</w:t>
            </w:r>
            <w:r w:rsidRPr="007328CF">
              <w:t>ITU-R</w:t>
            </w:r>
            <w:r w:rsidRPr="007328CF">
              <w:t>（</w:t>
            </w:r>
            <w:r w:rsidRPr="007328CF">
              <w:t>CRS</w:t>
            </w:r>
            <w:r w:rsidRPr="007328CF">
              <w:t>）の暫定案</w:t>
            </w:r>
          </w:p>
        </w:tc>
      </w:tr>
      <w:tr w:rsidR="007328CF" w:rsidRPr="007328CF" w:rsidTr="00E95B31">
        <w:trPr>
          <w:cantSplit/>
          <w:trHeight w:val="844"/>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176</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Proposed suppression of two Recommendations and proposed editorial update of four Recommendations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2</w:t>
            </w:r>
            <w:r w:rsidRPr="007328CF">
              <w:t>つの勧告削除と</w:t>
            </w:r>
            <w:r w:rsidRPr="007328CF">
              <w:t>4</w:t>
            </w:r>
            <w:r w:rsidRPr="007328CF">
              <w:t>つの勧告の編集更新の提案</w:t>
            </w:r>
          </w:p>
        </w:tc>
      </w:tr>
      <w:tr w:rsidR="007328CF" w:rsidRPr="007328CF" w:rsidTr="00E95B31">
        <w:trPr>
          <w:cantSplit/>
          <w:trHeight w:val="1070"/>
        </w:trPr>
        <w:tc>
          <w:tcPr>
            <w:tcW w:w="1080" w:type="dxa"/>
            <w:tcBorders>
              <w:top w:val="dotted" w:sz="4" w:space="0" w:color="auto"/>
              <w:bottom w:val="dotted" w:sz="4" w:space="0" w:color="auto"/>
            </w:tcBorders>
            <w:vAlign w:val="center"/>
          </w:tcPr>
          <w:p w:rsidR="007328CF" w:rsidRPr="00E95B31" w:rsidRDefault="007328CF" w:rsidP="00E95B31">
            <w:pPr>
              <w:jc w:val="center"/>
              <w:rPr>
                <w:sz w:val="20"/>
                <w:szCs w:val="20"/>
              </w:rPr>
            </w:pPr>
            <w:r w:rsidRPr="00E95B31">
              <w:rPr>
                <w:rFonts w:hint="eastAsia"/>
                <w:sz w:val="20"/>
                <w:szCs w:val="20"/>
              </w:rPr>
              <w:t>177</w:t>
            </w:r>
          </w:p>
        </w:tc>
        <w:tc>
          <w:tcPr>
            <w:tcW w:w="990" w:type="dxa"/>
            <w:tcBorders>
              <w:top w:val="dotted" w:sz="4" w:space="0" w:color="auto"/>
              <w:bottom w:val="dotted" w:sz="4" w:space="0" w:color="auto"/>
            </w:tcBorders>
            <w:vAlign w:val="center"/>
          </w:tcPr>
          <w:p w:rsidR="007328CF" w:rsidRPr="00E95B31" w:rsidRDefault="007328CF" w:rsidP="00E95B31">
            <w:pPr>
              <w:pStyle w:val="Style10pt"/>
            </w:pPr>
            <w:r w:rsidRPr="00E95B31">
              <w:rPr>
                <w:rFonts w:hint="eastAsia"/>
              </w:rPr>
              <w:t>WP 1B</w:t>
            </w:r>
          </w:p>
        </w:tc>
        <w:tc>
          <w:tcPr>
            <w:tcW w:w="4590" w:type="dxa"/>
            <w:tcBorders>
              <w:top w:val="dotted" w:sz="4" w:space="0" w:color="auto"/>
              <w:bottom w:val="dotted" w:sz="4" w:space="0" w:color="auto"/>
              <w:right w:val="dotted" w:sz="4" w:space="0" w:color="auto"/>
            </w:tcBorders>
            <w:vAlign w:val="center"/>
          </w:tcPr>
          <w:p w:rsidR="007328CF" w:rsidRPr="007328CF" w:rsidRDefault="007328CF" w:rsidP="00E95B31">
            <w:pPr>
              <w:pStyle w:val="Style10pt"/>
            </w:pPr>
            <w:r w:rsidRPr="007328CF">
              <w:t>Draft liaison statement from Study Group 1 to Study Groups 4, 6 and 7 and Working Parties 5A, 5B, 5C and 5D on a database for the protection of radio services</w:t>
            </w:r>
          </w:p>
        </w:tc>
        <w:tc>
          <w:tcPr>
            <w:tcW w:w="3240" w:type="dxa"/>
            <w:tcBorders>
              <w:top w:val="dotted" w:sz="4" w:space="0" w:color="auto"/>
              <w:left w:val="dotted" w:sz="4" w:space="0" w:color="auto"/>
              <w:bottom w:val="dotted" w:sz="4" w:space="0" w:color="auto"/>
            </w:tcBorders>
            <w:vAlign w:val="center"/>
          </w:tcPr>
          <w:p w:rsidR="007328CF" w:rsidRPr="007328CF" w:rsidRDefault="007328CF" w:rsidP="00E95B31">
            <w:pPr>
              <w:pStyle w:val="Style10pt"/>
            </w:pPr>
            <w:r w:rsidRPr="007328CF">
              <w:t>無線業務保護のためのデータベースに関する</w:t>
            </w:r>
            <w:r w:rsidRPr="007328CF">
              <w:t>SG1</w:t>
            </w:r>
            <w:r w:rsidRPr="007328CF">
              <w:t>から</w:t>
            </w:r>
            <w:r w:rsidRPr="007328CF">
              <w:t>SG4, 5, 6, 7</w:t>
            </w:r>
            <w:r w:rsidRPr="007328CF">
              <w:t>および</w:t>
            </w:r>
            <w:r w:rsidRPr="007328CF">
              <w:t>WP 5A, 5B, 5C, 5D</w:t>
            </w:r>
            <w:r w:rsidRPr="007328CF">
              <w:t>へのリエゾン文書案</w:t>
            </w:r>
          </w:p>
        </w:tc>
      </w:tr>
      <w:tr w:rsidR="007328CF" w:rsidRPr="007328CF" w:rsidTr="00E95B31">
        <w:trPr>
          <w:cantSplit/>
          <w:trHeight w:val="890"/>
        </w:trPr>
        <w:tc>
          <w:tcPr>
            <w:tcW w:w="1080" w:type="dxa"/>
            <w:tcBorders>
              <w:top w:val="dotted" w:sz="4" w:space="0" w:color="auto"/>
              <w:bottom w:val="single" w:sz="4" w:space="0" w:color="auto"/>
            </w:tcBorders>
            <w:vAlign w:val="center"/>
          </w:tcPr>
          <w:p w:rsidR="007328CF" w:rsidRPr="00E95B31" w:rsidRDefault="007328CF" w:rsidP="00E95B31">
            <w:pPr>
              <w:jc w:val="center"/>
              <w:rPr>
                <w:sz w:val="20"/>
                <w:szCs w:val="20"/>
              </w:rPr>
            </w:pPr>
            <w:r w:rsidRPr="00E95B31">
              <w:rPr>
                <w:rFonts w:hint="eastAsia"/>
                <w:sz w:val="20"/>
                <w:szCs w:val="20"/>
              </w:rPr>
              <w:t>178</w:t>
            </w:r>
          </w:p>
        </w:tc>
        <w:tc>
          <w:tcPr>
            <w:tcW w:w="990" w:type="dxa"/>
            <w:tcBorders>
              <w:top w:val="dotted" w:sz="4" w:space="0" w:color="auto"/>
              <w:bottom w:val="single" w:sz="4" w:space="0" w:color="auto"/>
            </w:tcBorders>
            <w:vAlign w:val="center"/>
          </w:tcPr>
          <w:p w:rsidR="007328CF" w:rsidRPr="00E95B31" w:rsidRDefault="007328CF" w:rsidP="00E95B31">
            <w:pPr>
              <w:pStyle w:val="Style10pt"/>
            </w:pPr>
            <w:r w:rsidRPr="00E95B31">
              <w:rPr>
                <w:rFonts w:hint="eastAsia"/>
              </w:rPr>
              <w:t>WP 1B</w:t>
            </w:r>
          </w:p>
        </w:tc>
        <w:tc>
          <w:tcPr>
            <w:tcW w:w="4590" w:type="dxa"/>
            <w:tcBorders>
              <w:top w:val="dotted" w:sz="4" w:space="0" w:color="auto"/>
              <w:bottom w:val="single" w:sz="4" w:space="0" w:color="auto"/>
              <w:right w:val="dotted" w:sz="4" w:space="0" w:color="auto"/>
            </w:tcBorders>
            <w:vAlign w:val="center"/>
          </w:tcPr>
          <w:p w:rsidR="007328CF" w:rsidRPr="007328CF" w:rsidRDefault="007328CF" w:rsidP="00E95B31">
            <w:pPr>
              <w:pStyle w:val="Style10pt"/>
            </w:pPr>
            <w:r w:rsidRPr="007328CF">
              <w:t xml:space="preserve">Draft new Recommendation ITU-R SM.[SRD] - Frequency ranges for global or regional </w:t>
            </w:r>
            <w:proofErr w:type="spellStart"/>
            <w:r w:rsidRPr="007328CF">
              <w:t>harmonisation</w:t>
            </w:r>
            <w:proofErr w:type="spellEnd"/>
            <w:r w:rsidRPr="007328CF">
              <w:t xml:space="preserve"> of short-range devices</w:t>
            </w:r>
            <w:r w:rsidRPr="007328CF">
              <w:rPr>
                <w:rFonts w:hint="eastAsia"/>
              </w:rPr>
              <w:t>（</w:t>
            </w:r>
            <w:r w:rsidRPr="007328CF">
              <w:t>SRDs</w:t>
            </w:r>
            <w:r w:rsidRPr="007328CF">
              <w:rPr>
                <w:rFonts w:hint="eastAsia"/>
              </w:rPr>
              <w:t>）</w:t>
            </w:r>
          </w:p>
        </w:tc>
        <w:tc>
          <w:tcPr>
            <w:tcW w:w="3240" w:type="dxa"/>
            <w:tcBorders>
              <w:top w:val="dotted" w:sz="4" w:space="0" w:color="auto"/>
              <w:left w:val="dotted" w:sz="4" w:space="0" w:color="auto"/>
              <w:bottom w:val="single" w:sz="4" w:space="0" w:color="auto"/>
            </w:tcBorders>
            <w:vAlign w:val="center"/>
          </w:tcPr>
          <w:p w:rsidR="007328CF" w:rsidRPr="007328CF" w:rsidRDefault="007328CF" w:rsidP="00E95B31">
            <w:pPr>
              <w:pStyle w:val="Style10pt"/>
            </w:pPr>
            <w:r w:rsidRPr="007328CF">
              <w:t>新決議</w:t>
            </w:r>
            <w:r w:rsidRPr="007328CF">
              <w:t>ITU-R SM.</w:t>
            </w:r>
            <w:r w:rsidRPr="007328CF">
              <w:t>（</w:t>
            </w:r>
            <w:r w:rsidRPr="007328CF">
              <w:t>SRD</w:t>
            </w:r>
            <w:r w:rsidRPr="007328CF">
              <w:t>）案</w:t>
            </w:r>
          </w:p>
        </w:tc>
      </w:tr>
    </w:tbl>
    <w:p w:rsidR="007328CF" w:rsidRPr="000861DA" w:rsidRDefault="007328CF" w:rsidP="007328CF"/>
    <w:p w:rsidR="00237F5D" w:rsidRPr="007328CF" w:rsidRDefault="00237F5D" w:rsidP="00B506D2"/>
    <w:sectPr w:rsidR="00237F5D" w:rsidRPr="007328CF" w:rsidSect="0089384F">
      <w:headerReference w:type="even" r:id="rId8"/>
      <w:footerReference w:type="even" r:id="rId9"/>
      <w:footerReference w:type="default" r:id="rId10"/>
      <w:pgSz w:w="11906" w:h="16838"/>
      <w:pgMar w:top="1418" w:right="1418" w:bottom="1418" w:left="1418" w:header="851" w:footer="99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AC" w:rsidRDefault="006E36AC">
      <w:r>
        <w:separator/>
      </w:r>
    </w:p>
    <w:p w:rsidR="006E36AC" w:rsidRDefault="006E36AC"/>
    <w:p w:rsidR="006E36AC" w:rsidRDefault="006E36AC"/>
  </w:endnote>
  <w:endnote w:type="continuationSeparator" w:id="0">
    <w:p w:rsidR="006E36AC" w:rsidRDefault="006E36AC">
      <w:r>
        <w:continuationSeparator/>
      </w:r>
    </w:p>
    <w:p w:rsidR="006E36AC" w:rsidRDefault="006E36AC"/>
    <w:p w:rsidR="006E36AC" w:rsidRDefault="006E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リュウミンL-KL">
    <w:altName w:val="MS Mincho"/>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bold">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31" w:rsidRDefault="00E95B3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5B31" w:rsidRDefault="00E95B31">
    <w:pPr>
      <w:pStyle w:val="a6"/>
    </w:pPr>
  </w:p>
  <w:p w:rsidR="00E95B31" w:rsidRDefault="00E95B31"/>
  <w:p w:rsidR="00E95B31" w:rsidRDefault="00E95B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31" w:rsidRDefault="00E95B31" w:rsidP="00B72967">
    <w:pPr>
      <w:pStyle w:val="a6"/>
      <w:jc w:val="center"/>
    </w:pPr>
    <w:r>
      <w:rPr>
        <w:rStyle w:val="a9"/>
      </w:rPr>
      <w:fldChar w:fldCharType="begin"/>
    </w:r>
    <w:r>
      <w:rPr>
        <w:rStyle w:val="a9"/>
      </w:rPr>
      <w:instrText xml:space="preserve"> PAGE </w:instrText>
    </w:r>
    <w:r>
      <w:rPr>
        <w:rStyle w:val="a9"/>
      </w:rPr>
      <w:fldChar w:fldCharType="separate"/>
    </w:r>
    <w:r w:rsidR="005D06EB">
      <w:rPr>
        <w:rStyle w:val="a9"/>
        <w:noProof/>
      </w:rPr>
      <w:t>13</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AC" w:rsidRDefault="006E36AC">
      <w:r>
        <w:separator/>
      </w:r>
    </w:p>
  </w:footnote>
  <w:footnote w:type="continuationSeparator" w:id="0">
    <w:p w:rsidR="006E36AC" w:rsidRDefault="006E36AC">
      <w:r>
        <w:continuationSeparator/>
      </w:r>
    </w:p>
  </w:footnote>
  <w:footnote w:type="continuationNotice" w:id="1">
    <w:p w:rsidR="006E36AC" w:rsidRPr="0089384F" w:rsidRDefault="006E36AC" w:rsidP="0089384F">
      <w:pPr>
        <w:pStyle w:val="a6"/>
      </w:pPr>
    </w:p>
  </w:footnote>
  <w:footnote w:id="2">
    <w:p w:rsidR="00E95B31" w:rsidRPr="001C609F" w:rsidRDefault="00E95B31">
      <w:pPr>
        <w:pStyle w:val="ab"/>
      </w:pPr>
      <w:r>
        <w:rPr>
          <w:rStyle w:val="ad"/>
        </w:rPr>
        <w:footnoteRef/>
      </w:r>
      <w:r>
        <w:t xml:space="preserve"> </w:t>
      </w:r>
      <w:r w:rsidRPr="001C609F">
        <w:t xml:space="preserve">Procedure for the Simultaneous Adoption and Approval by </w:t>
      </w:r>
      <w:proofErr w:type="spellStart"/>
      <w:r w:rsidRPr="001C609F">
        <w:t>correpondence</w:t>
      </w:r>
      <w:proofErr w:type="spellEnd"/>
      <w:r w:rsidRPr="001C609F">
        <w:t xml:space="preserve"> (</w:t>
      </w:r>
      <w:hyperlink r:id="rId1" w:history="1">
        <w:r w:rsidRPr="00DE2C87">
          <w:rPr>
            <w:rStyle w:val="a7"/>
            <w:rFonts w:cs="Arial"/>
          </w:rPr>
          <w:t>http://www.itu.int/ITU-R/index.asp?category=publications&amp;rlink=rec-approval&amp;lang=en</w:t>
        </w:r>
      </w:hyperlink>
      <w:r w:rsidRPr="001C609F">
        <w:t>)</w:t>
      </w:r>
    </w:p>
  </w:footnote>
  <w:footnote w:id="3">
    <w:p w:rsidR="00E95B31" w:rsidRDefault="00E95B31" w:rsidP="00FC35BC">
      <w:pPr>
        <w:pStyle w:val="ab"/>
      </w:pPr>
      <w:r>
        <w:rPr>
          <w:rStyle w:val="ad"/>
        </w:rPr>
        <w:footnoteRef/>
      </w:r>
      <w:r>
        <w:t xml:space="preserve"> </w:t>
      </w:r>
      <w:r>
        <w:rPr>
          <w:rFonts w:hint="eastAsia"/>
        </w:rPr>
        <w:t xml:space="preserve">原文：　</w:t>
      </w:r>
      <w:r>
        <w:rPr>
          <w:rFonts w:hint="eastAsia"/>
        </w:rPr>
        <w:t xml:space="preserve">Considering: [a) that Resolution 956 (WRC-07) invites ITU-R to study whether there is a need for regulatory measures related to the application of cognitive radio system technologies; AND/OR a) that the implementation and use of CRS is on the agenda of </w:t>
      </w:r>
      <w:r>
        <w:t>WRC-12 (Agenda item 1.19);]</w:t>
      </w:r>
    </w:p>
    <w:p w:rsidR="00E95B31" w:rsidRDefault="00E95B31" w:rsidP="00FC35BC">
      <w:pPr>
        <w:pStyle w:val="ab"/>
      </w:pPr>
      <w:r>
        <w:rPr>
          <w:rFonts w:hint="eastAsia"/>
        </w:rPr>
        <w:t>Recognizing: [b)</w:t>
      </w:r>
      <w:r>
        <w:rPr>
          <w:rFonts w:hint="eastAsia"/>
        </w:rPr>
        <w:t xml:space="preserve">　</w:t>
      </w:r>
      <w:r>
        <w:rPr>
          <w:rFonts w:hint="eastAsia"/>
        </w:rPr>
        <w:t>that the possible regulatory measures for CRS and their relevance as requested by Resolution 956 (WRC-07) are outside of the scope of this ITU-R Resolution; AND/OR b)</w:t>
      </w:r>
      <w:r>
        <w:rPr>
          <w:rFonts w:hint="eastAsia"/>
        </w:rPr>
        <w:t xml:space="preserve">　</w:t>
      </w:r>
      <w:r>
        <w:rPr>
          <w:rFonts w:hint="eastAsia"/>
        </w:rPr>
        <w:t>that this preliminary draft new Resolution is aimed at responding to one</w:t>
      </w:r>
      <w:r>
        <w:t xml:space="preserve"> of the options provided in the CPM Report to WRC-12 in order to satisfy WRC-12 Agenda item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B31" w:rsidRDefault="00E95B3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95B31" w:rsidRDefault="00E95B31">
    <w:pPr>
      <w:pStyle w:val="a8"/>
    </w:pPr>
  </w:p>
  <w:p w:rsidR="00E95B31" w:rsidRDefault="00E95B31"/>
  <w:p w:rsidR="00E95B31" w:rsidRDefault="00E95B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DC8301C"/>
    <w:lvl w:ilvl="0">
      <w:start w:val="1"/>
      <w:numFmt w:val="decimal"/>
      <w:lvlText w:val="%1."/>
      <w:lvlJc w:val="left"/>
      <w:pPr>
        <w:tabs>
          <w:tab w:val="num" w:pos="360"/>
        </w:tabs>
        <w:ind w:left="360" w:hanging="360"/>
      </w:pPr>
      <w:rPr>
        <w:rFonts w:cs="Times New Roman"/>
      </w:rPr>
    </w:lvl>
  </w:abstractNum>
  <w:abstractNum w:abstractNumId="1">
    <w:nsid w:val="054966C5"/>
    <w:multiLevelType w:val="multilevel"/>
    <w:tmpl w:val="17EE555E"/>
    <w:lvl w:ilvl="0">
      <w:start w:val="1"/>
      <w:numFmt w:val="bullet"/>
      <w:lvlText w:val=""/>
      <w:lvlJc w:val="left"/>
      <w:pPr>
        <w:tabs>
          <w:tab w:val="num" w:pos="360"/>
        </w:tabs>
        <w:ind w:left="360" w:hanging="360"/>
      </w:pPr>
      <w:rPr>
        <w:rFonts w:ascii="Wingdings 2" w:eastAsia="ＭＳ Ｐゴシック" w:hAnsi="Wingdings 2"/>
        <w:kern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35699C"/>
    <w:multiLevelType w:val="hybridMultilevel"/>
    <w:tmpl w:val="3438A5D6"/>
    <w:lvl w:ilvl="0" w:tplc="1B98DD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2114A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7E1DEE"/>
    <w:multiLevelType w:val="hybridMultilevel"/>
    <w:tmpl w:val="4A74AA18"/>
    <w:lvl w:ilvl="0" w:tplc="FC446A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3CE0AA3"/>
    <w:multiLevelType w:val="hybridMultilevel"/>
    <w:tmpl w:val="7F38F27E"/>
    <w:lvl w:ilvl="0" w:tplc="7E54D114">
      <w:start w:val="1"/>
      <w:numFmt w:val="decimal"/>
      <w:pStyle w:val="105pt16pt"/>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4911F4"/>
    <w:multiLevelType w:val="hybridMultilevel"/>
    <w:tmpl w:val="69D0B6C4"/>
    <w:lvl w:ilvl="0" w:tplc="01C67AA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D1B4187"/>
    <w:multiLevelType w:val="hybridMultilevel"/>
    <w:tmpl w:val="0FBC05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FD72C1E"/>
    <w:multiLevelType w:val="hybridMultilevel"/>
    <w:tmpl w:val="BDC48C10"/>
    <w:lvl w:ilvl="0" w:tplc="022A7234">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9">
    <w:nsid w:val="1FE13703"/>
    <w:multiLevelType w:val="multilevel"/>
    <w:tmpl w:val="7FBE36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6D3207A"/>
    <w:multiLevelType w:val="hybridMultilevel"/>
    <w:tmpl w:val="1A5C8C42"/>
    <w:lvl w:ilvl="0" w:tplc="6CB03C20">
      <w:start w:val="1"/>
      <w:numFmt w:val="bullet"/>
      <w:lvlText w:val=""/>
      <w:lvlJc w:val="left"/>
      <w:pPr>
        <w:ind w:left="434" w:hanging="420"/>
      </w:pPr>
      <w:rPr>
        <w:rFonts w:ascii="Wingdings" w:hAnsi="Wingdings" w:hint="default"/>
      </w:rPr>
    </w:lvl>
    <w:lvl w:ilvl="1" w:tplc="411E9EBA">
      <w:numFmt w:val="bullet"/>
      <w:lvlText w:val="・"/>
      <w:lvlJc w:val="left"/>
      <w:pPr>
        <w:tabs>
          <w:tab w:val="num" w:pos="801"/>
        </w:tabs>
        <w:ind w:left="801" w:hanging="360"/>
      </w:pPr>
      <w:rPr>
        <w:rFonts w:ascii="ＭＳ ゴシック" w:eastAsia="ＭＳ ゴシック" w:hAnsi="ＭＳ ゴシック" w:cs="Arial" w:hint="eastAsia"/>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1">
    <w:nsid w:val="30252927"/>
    <w:multiLevelType w:val="multilevel"/>
    <w:tmpl w:val="1A5C8C42"/>
    <w:lvl w:ilvl="0">
      <w:start w:val="1"/>
      <w:numFmt w:val="bullet"/>
      <w:lvlText w:val=""/>
      <w:lvlJc w:val="left"/>
      <w:pPr>
        <w:ind w:left="434" w:hanging="420"/>
      </w:pPr>
      <w:rPr>
        <w:rFonts w:ascii="Wingdings" w:hAnsi="Wingdings" w:hint="default"/>
      </w:rPr>
    </w:lvl>
    <w:lvl w:ilvl="1">
      <w:numFmt w:val="bullet"/>
      <w:lvlText w:val="・"/>
      <w:lvlJc w:val="left"/>
      <w:pPr>
        <w:tabs>
          <w:tab w:val="num" w:pos="801"/>
        </w:tabs>
        <w:ind w:left="801" w:hanging="360"/>
      </w:pPr>
      <w:rPr>
        <w:rFonts w:ascii="ＭＳ ゴシック" w:eastAsia="ＭＳ ゴシック" w:hAnsi="ＭＳ ゴシック" w:cs="Arial" w:hint="eastAsia"/>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12">
    <w:nsid w:val="30D05DCC"/>
    <w:multiLevelType w:val="hybridMultilevel"/>
    <w:tmpl w:val="5374D8D8"/>
    <w:lvl w:ilvl="0" w:tplc="3B1AE824">
      <w:start w:val="2009"/>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607294"/>
    <w:multiLevelType w:val="hybridMultilevel"/>
    <w:tmpl w:val="B49EABF8"/>
    <w:lvl w:ilvl="0" w:tplc="AFC80F08">
      <w:start w:val="1"/>
      <w:numFmt w:val="bullet"/>
      <w:lvlText w:val=""/>
      <w:lvlJc w:val="left"/>
      <w:pPr>
        <w:tabs>
          <w:tab w:val="num" w:pos="580"/>
        </w:tabs>
        <w:ind w:left="580" w:hanging="360"/>
      </w:pPr>
      <w:rPr>
        <w:rFonts w:ascii="Wingdings" w:hAnsi="Wingdings" w:hint="default"/>
      </w:rPr>
    </w:lvl>
    <w:lvl w:ilvl="1" w:tplc="79985A9C">
      <w:start w:val="1"/>
      <w:numFmt w:val="bullet"/>
      <w:lvlText w:val=""/>
      <w:lvlJc w:val="left"/>
      <w:pPr>
        <w:tabs>
          <w:tab w:val="num" w:pos="1660"/>
        </w:tabs>
        <w:ind w:left="1660" w:hanging="360"/>
      </w:pPr>
      <w:rPr>
        <w:rFonts w:ascii="Wingdings 2" w:hAnsi="Wingdings 2" w:hint="default"/>
        <w:color w:val="auto"/>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4">
    <w:nsid w:val="320539BD"/>
    <w:multiLevelType w:val="multilevel"/>
    <w:tmpl w:val="A9DCF4FC"/>
    <w:lvl w:ilvl="0">
      <w:start w:val="1"/>
      <w:numFmt w:val="bullet"/>
      <w:lvlText w:val=""/>
      <w:lvlJc w:val="left"/>
      <w:pPr>
        <w:ind w:left="441" w:hanging="420"/>
      </w:pPr>
      <w:rPr>
        <w:rFonts w:ascii="Wingdings" w:hAnsi="Wingdings" w:hint="default"/>
      </w:rPr>
    </w:lvl>
    <w:lvl w:ilvl="1">
      <w:numFmt w:val="bullet"/>
      <w:lvlText w:val="・"/>
      <w:lvlJc w:val="left"/>
      <w:pPr>
        <w:tabs>
          <w:tab w:val="num" w:pos="801"/>
        </w:tabs>
        <w:ind w:left="801" w:hanging="360"/>
      </w:pPr>
      <w:rPr>
        <w:rFonts w:ascii="ＭＳ ゴシック" w:eastAsia="ＭＳ ゴシック" w:hAnsi="ＭＳ ゴシック" w:cs="Arial" w:hint="eastAsia"/>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15">
    <w:nsid w:val="41995052"/>
    <w:multiLevelType w:val="hybridMultilevel"/>
    <w:tmpl w:val="3B9AD35E"/>
    <w:lvl w:ilvl="0" w:tplc="A4E22192">
      <w:start w:val="201"/>
      <w:numFmt w:val="bullet"/>
      <w:lvlText w:val="•"/>
      <w:lvlJc w:val="left"/>
      <w:pPr>
        <w:ind w:left="780" w:hanging="420"/>
      </w:pPr>
      <w:rPr>
        <w:rFonts w:ascii="ＭＳ Ｐゴシック" w:eastAsia="ＭＳ Ｐゴシック"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nsid w:val="439035B0"/>
    <w:multiLevelType w:val="hybridMultilevel"/>
    <w:tmpl w:val="C82CCC6C"/>
    <w:lvl w:ilvl="0" w:tplc="8AD6D350">
      <w:start w:val="1"/>
      <w:numFmt w:val="bullet"/>
      <w:lvlText w:val=""/>
      <w:lvlJc w:val="left"/>
      <w:pPr>
        <w:tabs>
          <w:tab w:val="num" w:pos="570"/>
        </w:tabs>
        <w:ind w:left="570" w:hanging="360"/>
      </w:pPr>
      <w:rPr>
        <w:rFonts w:ascii="Symbol" w:hAnsi="Symbol" w:hint="default"/>
        <w:color w:val="auto"/>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7">
    <w:nsid w:val="48A76EE8"/>
    <w:multiLevelType w:val="singleLevel"/>
    <w:tmpl w:val="8FE2530E"/>
    <w:lvl w:ilvl="0">
      <w:numFmt w:val="bullet"/>
      <w:pStyle w:val="a"/>
      <w:lvlText w:val="・"/>
      <w:lvlJc w:val="left"/>
      <w:pPr>
        <w:tabs>
          <w:tab w:val="num" w:pos="360"/>
        </w:tabs>
        <w:ind w:left="360" w:hanging="360"/>
      </w:pPr>
      <w:rPr>
        <w:rFonts w:ascii="ＭＳ Ｐゴシック" w:eastAsia="ＭＳ Ｐゴシック" w:hAnsi="ＭＳ Ｐゴシック" w:cs="メイリオ" w:hint="eastAsia"/>
      </w:rPr>
    </w:lvl>
  </w:abstractNum>
  <w:abstractNum w:abstractNumId="18">
    <w:nsid w:val="4C871E04"/>
    <w:multiLevelType w:val="hybridMultilevel"/>
    <w:tmpl w:val="B6882B16"/>
    <w:lvl w:ilvl="0" w:tplc="DAC8EEF4">
      <w:start w:val="4"/>
      <w:numFmt w:val="bullet"/>
      <w:lvlText w:val="-"/>
      <w:lvlJc w:val="left"/>
      <w:pPr>
        <w:ind w:left="675" w:hanging="360"/>
      </w:pPr>
      <w:rPr>
        <w:rFonts w:ascii="Arial" w:eastAsia="ＭＳ ゴシック" w:hAnsi="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nsid w:val="4F302AA7"/>
    <w:multiLevelType w:val="multilevel"/>
    <w:tmpl w:val="54C0C1F2"/>
    <w:lvl w:ilvl="0">
      <w:start w:val="1"/>
      <w:numFmt w:val="decimal"/>
      <w:lvlText w:val="%1."/>
      <w:lvlJc w:val="left"/>
      <w:pPr>
        <w:tabs>
          <w:tab w:val="num" w:pos="566"/>
        </w:tabs>
        <w:ind w:left="566" w:hanging="425"/>
      </w:pPr>
      <w:rPr>
        <w:rFonts w:ascii="Arial" w:eastAsia="ＭＳ Ｐゴシック" w:hAnsi="Arial" w:cs="Times New Roman" w:hint="default"/>
        <w:b w:val="0"/>
        <w:i w:val="0"/>
        <w:caps w:val="0"/>
        <w:strike w:val="0"/>
        <w:dstrike w:val="0"/>
        <w:outline w:val="0"/>
        <w:shadow w:val="0"/>
        <w:emboss w:val="0"/>
        <w:imprint w:val="0"/>
        <w:vanish w:val="0"/>
        <w:color w:val="auto"/>
        <w:sz w:val="28"/>
        <w:u w:val="none"/>
        <w:vertAlign w:val="baseline"/>
      </w:rPr>
    </w:lvl>
    <w:lvl w:ilvl="1">
      <w:start w:val="1"/>
      <w:numFmt w:val="decimal"/>
      <w:lvlText w:val="%1.%2"/>
      <w:lvlJc w:val="left"/>
      <w:pPr>
        <w:tabs>
          <w:tab w:val="num" w:pos="708"/>
        </w:tabs>
        <w:ind w:left="708" w:hanging="567"/>
      </w:pPr>
      <w:rPr>
        <w:rFonts w:ascii="Arial" w:eastAsia="ＭＳ Ｐゴシック" w:hAnsi="Arial" w:cs="Times New Roman" w:hint="default"/>
        <w:b w:val="0"/>
        <w:i w:val="0"/>
        <w:caps w:val="0"/>
        <w:strike w:val="0"/>
        <w:dstrike w:val="0"/>
        <w:outline w:val="0"/>
        <w:shadow w:val="0"/>
        <w:emboss w:val="0"/>
        <w:imprint w:val="0"/>
        <w:vanish w:val="0"/>
        <w:color w:val="auto"/>
        <w:sz w:val="28"/>
        <w:u w:val="none"/>
        <w:vertAlign w:val="baseline"/>
      </w:rPr>
    </w:lvl>
    <w:lvl w:ilvl="2">
      <w:start w:val="1"/>
      <w:numFmt w:val="decimal"/>
      <w:pStyle w:val="3"/>
      <w:lvlText w:val="%1.%2.%3"/>
      <w:lvlJc w:val="left"/>
      <w:pPr>
        <w:tabs>
          <w:tab w:val="num" w:pos="850"/>
        </w:tabs>
        <w:ind w:left="850" w:hanging="709"/>
      </w:pPr>
      <w:rPr>
        <w:rFonts w:ascii="Arial" w:eastAsia="ＭＳ Ｐゴシック" w:hAnsi="Arial" w:cs="Times New Roman" w:hint="default"/>
        <w:b/>
        <w:i w:val="0"/>
        <w:caps w:val="0"/>
        <w:strike w:val="0"/>
        <w:dstrike w:val="0"/>
        <w:outline w:val="0"/>
        <w:shadow w:val="0"/>
        <w:emboss w:val="0"/>
        <w:imprint w:val="0"/>
        <w:vanish w:val="0"/>
        <w:color w:val="auto"/>
        <w:sz w:val="22"/>
        <w:u w:val="none"/>
        <w:vertAlign w:val="baseline"/>
      </w:rPr>
    </w:lvl>
    <w:lvl w:ilvl="3">
      <w:start w:val="1"/>
      <w:numFmt w:val="decimal"/>
      <w:pStyle w:val="4"/>
      <w:lvlText w:val="%1.%2.%3.%4"/>
      <w:lvlJc w:val="left"/>
      <w:pPr>
        <w:tabs>
          <w:tab w:val="num" w:pos="992"/>
        </w:tabs>
        <w:ind w:left="992" w:hanging="851"/>
      </w:pPr>
      <w:rPr>
        <w:rFonts w:ascii="Arial" w:eastAsia="ＭＳ Ｐゴシック" w:hAnsi="Arial" w:cs="Times New Roman" w:hint="default"/>
        <w:b/>
        <w:i w:val="0"/>
        <w:color w:val="auto"/>
        <w:sz w:val="22"/>
        <w:u w:val="none"/>
      </w:rPr>
    </w:lvl>
    <w:lvl w:ilvl="4">
      <w:start w:val="1"/>
      <w:numFmt w:val="decimal"/>
      <w:lvlText w:val="%1.%2.%3.%4.%5."/>
      <w:lvlJc w:val="left"/>
      <w:pPr>
        <w:tabs>
          <w:tab w:val="num" w:pos="1133"/>
        </w:tabs>
        <w:ind w:left="1133" w:hanging="992"/>
      </w:pPr>
      <w:rPr>
        <w:rFonts w:cs="Times New Roman" w:hint="eastAsia"/>
      </w:rPr>
    </w:lvl>
    <w:lvl w:ilvl="5">
      <w:start w:val="1"/>
      <w:numFmt w:val="decimal"/>
      <w:lvlText w:val="%1.%2.%3.%4.%5.%6."/>
      <w:lvlJc w:val="left"/>
      <w:pPr>
        <w:tabs>
          <w:tab w:val="num" w:pos="1275"/>
        </w:tabs>
        <w:ind w:left="1275" w:hanging="1134"/>
      </w:pPr>
      <w:rPr>
        <w:rFonts w:cs="Times New Roman" w:hint="eastAsia"/>
      </w:rPr>
    </w:lvl>
    <w:lvl w:ilvl="6">
      <w:start w:val="1"/>
      <w:numFmt w:val="decimal"/>
      <w:lvlText w:val="%1.%2.%3.%4.%5.%6.%7."/>
      <w:lvlJc w:val="left"/>
      <w:pPr>
        <w:tabs>
          <w:tab w:val="num" w:pos="1417"/>
        </w:tabs>
        <w:ind w:left="1417" w:hanging="1276"/>
      </w:pPr>
      <w:rPr>
        <w:rFonts w:cs="Times New Roman" w:hint="eastAsia"/>
      </w:rPr>
    </w:lvl>
    <w:lvl w:ilvl="7">
      <w:start w:val="1"/>
      <w:numFmt w:val="decimal"/>
      <w:lvlText w:val="%1.%2.%3.%4.%5.%6.%7.%8."/>
      <w:lvlJc w:val="left"/>
      <w:pPr>
        <w:tabs>
          <w:tab w:val="num" w:pos="1559"/>
        </w:tabs>
        <w:ind w:left="1559" w:hanging="1418"/>
      </w:pPr>
      <w:rPr>
        <w:rFonts w:cs="Times New Roman" w:hint="eastAsia"/>
      </w:rPr>
    </w:lvl>
    <w:lvl w:ilvl="8">
      <w:start w:val="1"/>
      <w:numFmt w:val="decimal"/>
      <w:lvlText w:val="%1.%2.%3.%4.%5.%6.%7.%8.%9."/>
      <w:lvlJc w:val="left"/>
      <w:pPr>
        <w:tabs>
          <w:tab w:val="num" w:pos="1700"/>
        </w:tabs>
        <w:ind w:left="1700" w:hanging="1559"/>
      </w:pPr>
      <w:rPr>
        <w:rFonts w:cs="Times New Roman" w:hint="eastAsia"/>
      </w:rPr>
    </w:lvl>
  </w:abstractNum>
  <w:abstractNum w:abstractNumId="20">
    <w:nsid w:val="54003F62"/>
    <w:multiLevelType w:val="multilevel"/>
    <w:tmpl w:val="B76C2F4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834021B"/>
    <w:multiLevelType w:val="hybridMultilevel"/>
    <w:tmpl w:val="48B01CD0"/>
    <w:lvl w:ilvl="0" w:tplc="D20234FE">
      <w:start w:val="1"/>
      <w:numFmt w:val="decimal"/>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A2D4479"/>
    <w:multiLevelType w:val="multilevel"/>
    <w:tmpl w:val="19B205E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b/>
        <w:sz w:val="28"/>
        <w:szCs w:val="28"/>
      </w:rPr>
    </w:lvl>
    <w:lvl w:ilvl="2">
      <w:start w:val="1"/>
      <w:numFmt w:val="decimal"/>
      <w:lvlText w:val="%1.%2.%3"/>
      <w:lvlJc w:val="left"/>
      <w:pPr>
        <w:tabs>
          <w:tab w:val="num" w:pos="709"/>
        </w:tabs>
        <w:ind w:left="709" w:hanging="709"/>
      </w:pPr>
      <w:rPr>
        <w:rFonts w:cs="Times New Roman" w:hint="eastAsia"/>
        <w:color w:val="auto"/>
        <w:u w:val="none"/>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3">
    <w:nsid w:val="5AA1130D"/>
    <w:multiLevelType w:val="hybridMultilevel"/>
    <w:tmpl w:val="17EE555E"/>
    <w:lvl w:ilvl="0" w:tplc="65CA8DA4">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602ED9"/>
    <w:multiLevelType w:val="hybridMultilevel"/>
    <w:tmpl w:val="FE220486"/>
    <w:lvl w:ilvl="0" w:tplc="CB10A37A">
      <w:start w:val="1"/>
      <w:numFmt w:val="lowerRoman"/>
      <w:pStyle w:val="6"/>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B6E600A"/>
    <w:multiLevelType w:val="multilevel"/>
    <w:tmpl w:val="80F0DF84"/>
    <w:lvl w:ilvl="0">
      <w:start w:val="2"/>
      <w:numFmt w:val="decimal"/>
      <w:lvlText w:val="4.%1"/>
      <w:lvlJc w:val="left"/>
      <w:pPr>
        <w:ind w:left="420" w:hanging="42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26">
    <w:nsid w:val="5F120254"/>
    <w:multiLevelType w:val="hybridMultilevel"/>
    <w:tmpl w:val="09A07F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0014DB2"/>
    <w:multiLevelType w:val="hybridMultilevel"/>
    <w:tmpl w:val="C31C9F5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60090219"/>
    <w:multiLevelType w:val="hybridMultilevel"/>
    <w:tmpl w:val="6FC44766"/>
    <w:lvl w:ilvl="0" w:tplc="5252850A">
      <w:start w:val="1"/>
      <w:numFmt w:val="decimal"/>
      <w:pStyle w:val="50mm0mm1"/>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60F97B38"/>
    <w:multiLevelType w:val="hybridMultilevel"/>
    <w:tmpl w:val="5EC88702"/>
    <w:lvl w:ilvl="0" w:tplc="FA7295C4">
      <w:start w:val="1"/>
      <w:numFmt w:val="decimalEnclosedCircle"/>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nsid w:val="61A542F0"/>
    <w:multiLevelType w:val="hybridMultilevel"/>
    <w:tmpl w:val="AFE0BDE4"/>
    <w:lvl w:ilvl="0" w:tplc="348E9DD0">
      <w:start w:val="1"/>
      <w:numFmt w:val="decimalEnclosedCircle"/>
      <w:pStyle w:val="1"/>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nsid w:val="63126D9C"/>
    <w:multiLevelType w:val="hybridMultilevel"/>
    <w:tmpl w:val="52B0ACAC"/>
    <w:lvl w:ilvl="0" w:tplc="9D64A098">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2">
    <w:nsid w:val="6A127607"/>
    <w:multiLevelType w:val="hybridMultilevel"/>
    <w:tmpl w:val="265845DC"/>
    <w:lvl w:ilvl="0" w:tplc="ACBC5C3E">
      <w:start w:val="1"/>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B1F6287"/>
    <w:multiLevelType w:val="hybridMultilevel"/>
    <w:tmpl w:val="20F0F9D0"/>
    <w:lvl w:ilvl="0" w:tplc="FB64DEAA">
      <w:start w:val="2"/>
      <w:numFmt w:val="bullet"/>
      <w:lvlText w:val=""/>
      <w:lvlJc w:val="left"/>
      <w:pPr>
        <w:tabs>
          <w:tab w:val="num" w:pos="780"/>
        </w:tabs>
        <w:ind w:left="780" w:hanging="360"/>
      </w:pPr>
      <w:rPr>
        <w:rFonts w:ascii="Symbol" w:eastAsia="リュウミンL-K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247079"/>
    <w:multiLevelType w:val="multilevel"/>
    <w:tmpl w:val="5F5EFC78"/>
    <w:lvl w:ilvl="0">
      <w:start w:val="2"/>
      <w:numFmt w:val="decimal"/>
      <w:pStyle w:val="10"/>
      <w:lvlText w:val="%1."/>
      <w:lvlJc w:val="left"/>
      <w:pPr>
        <w:ind w:left="425" w:hanging="425"/>
      </w:pPr>
      <w:rPr>
        <w:rFonts w:cs="Times New Roman" w:hint="eastAsia"/>
        <w:b/>
      </w:rPr>
    </w:lvl>
    <w:lvl w:ilvl="1">
      <w:start w:val="1"/>
      <w:numFmt w:val="decimal"/>
      <w:pStyle w:val="2"/>
      <w:lvlText w:val="%1.%2."/>
      <w:lvlJc w:val="left"/>
      <w:pPr>
        <w:ind w:left="1276" w:hanging="567"/>
      </w:pPr>
      <w:rPr>
        <w:rFonts w:cs="Times New Roman" w:hint="eastAsia"/>
        <w:i w:val="0"/>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5">
    <w:nsid w:val="77DF0AEA"/>
    <w:multiLevelType w:val="multilevel"/>
    <w:tmpl w:val="11FEA49E"/>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rPr>
        <w:rFonts w:cs="Times New Roman" w:hint="eastAsia"/>
        <w:sz w:val="24"/>
      </w:rPr>
    </w:lvl>
    <w:lvl w:ilvl="2">
      <w:start w:val="1"/>
      <w:numFmt w:val="decimal"/>
      <w:lvlText w:val="%1.%2.%3"/>
      <w:lvlJc w:val="left"/>
      <w:pPr>
        <w:tabs>
          <w:tab w:val="num" w:pos="709"/>
        </w:tabs>
        <w:ind w:left="709" w:hanging="709"/>
      </w:pPr>
      <w:rPr>
        <w:rFonts w:cs="Times New Roman" w:hint="eastAsia"/>
        <w:color w:val="auto"/>
        <w:u w:val="none"/>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6">
    <w:nsid w:val="7C3F559A"/>
    <w:multiLevelType w:val="multilevel"/>
    <w:tmpl w:val="0409001D"/>
    <w:styleLink w:val="1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24"/>
  </w:num>
  <w:num w:numId="2">
    <w:abstractNumId w:val="19"/>
  </w:num>
  <w:num w:numId="3">
    <w:abstractNumId w:val="17"/>
  </w:num>
  <w:num w:numId="4">
    <w:abstractNumId w:val="28"/>
  </w:num>
  <w:num w:numId="5">
    <w:abstractNumId w:val="5"/>
  </w:num>
  <w:num w:numId="6">
    <w:abstractNumId w:val="34"/>
  </w:num>
  <w:num w:numId="7">
    <w:abstractNumId w:val="23"/>
  </w:num>
  <w:num w:numId="8">
    <w:abstractNumId w:val="1"/>
  </w:num>
  <w:num w:numId="9">
    <w:abstractNumId w:val="36"/>
  </w:num>
  <w:num w:numId="10">
    <w:abstractNumId w:val="15"/>
  </w:num>
  <w:num w:numId="11">
    <w:abstractNumId w:val="30"/>
  </w:num>
  <w:num w:numId="12">
    <w:abstractNumId w:val="31"/>
  </w:num>
  <w:num w:numId="13">
    <w:abstractNumId w:val="10"/>
  </w:num>
  <w:num w:numId="14">
    <w:abstractNumId w:val="0"/>
  </w:num>
  <w:num w:numId="15">
    <w:abstractNumId w:val="8"/>
  </w:num>
  <w:num w:numId="16">
    <w:abstractNumId w:val="7"/>
  </w:num>
  <w:num w:numId="17">
    <w:abstractNumId w:val="26"/>
  </w:num>
  <w:num w:numId="18">
    <w:abstractNumId w:val="22"/>
  </w:num>
  <w:num w:numId="19">
    <w:abstractNumId w:val="35"/>
  </w:num>
  <w:num w:numId="20">
    <w:abstractNumId w:val="28"/>
    <w:lvlOverride w:ilvl="0">
      <w:startOverride w:val="1"/>
    </w:lvlOverride>
  </w:num>
  <w:num w:numId="21">
    <w:abstractNumId w:val="28"/>
    <w:lvlOverride w:ilvl="0">
      <w:startOverride w:val="1"/>
    </w:lvlOverride>
  </w:num>
  <w:num w:numId="22">
    <w:abstractNumId w:val="2"/>
  </w:num>
  <w:num w:numId="23">
    <w:abstractNumId w:val="28"/>
    <w:lvlOverride w:ilvl="0">
      <w:startOverride w:val="1"/>
    </w:lvlOverride>
  </w:num>
  <w:num w:numId="24">
    <w:abstractNumId w:val="18"/>
  </w:num>
  <w:num w:numId="25">
    <w:abstractNumId w:val="9"/>
  </w:num>
  <w:num w:numId="26">
    <w:abstractNumId w:val="28"/>
    <w:lvlOverride w:ilvl="0">
      <w:startOverride w:val="1"/>
    </w:lvlOverride>
  </w:num>
  <w:num w:numId="27">
    <w:abstractNumId w:val="33"/>
  </w:num>
  <w:num w:numId="28">
    <w:abstractNumId w:val="29"/>
  </w:num>
  <w:num w:numId="29">
    <w:abstractNumId w:val="20"/>
  </w:num>
  <w:num w:numId="30">
    <w:abstractNumId w:val="27"/>
  </w:num>
  <w:num w:numId="31">
    <w:abstractNumId w:val="12"/>
  </w:num>
  <w:num w:numId="32">
    <w:abstractNumId w:val="32"/>
  </w:num>
  <w:num w:numId="33">
    <w:abstractNumId w:val="21"/>
  </w:num>
  <w:num w:numId="34">
    <w:abstractNumId w:val="6"/>
  </w:num>
  <w:num w:numId="35">
    <w:abstractNumId w:val="4"/>
  </w:num>
  <w:num w:numId="36">
    <w:abstractNumId w:val="28"/>
    <w:lvlOverride w:ilvl="0">
      <w:startOverride w:val="1"/>
    </w:lvlOverride>
  </w:num>
  <w:num w:numId="37">
    <w:abstractNumId w:val="28"/>
    <w:lvlOverride w:ilvl="0">
      <w:startOverride w:val="1"/>
    </w:lvlOverride>
  </w:num>
  <w:num w:numId="38">
    <w:abstractNumId w:val="16"/>
  </w:num>
  <w:num w:numId="39">
    <w:abstractNumId w:val="13"/>
  </w:num>
  <w:num w:numId="40">
    <w:abstractNumId w:val="14"/>
  </w:num>
  <w:num w:numId="41">
    <w:abstractNumId w:val="11"/>
  </w:num>
  <w:num w:numId="42">
    <w:abstractNumId w:val="25"/>
  </w:num>
  <w:num w:numId="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A23"/>
    <w:rsid w:val="00001A97"/>
    <w:rsid w:val="00001C36"/>
    <w:rsid w:val="000058A5"/>
    <w:rsid w:val="00005C7B"/>
    <w:rsid w:val="00006007"/>
    <w:rsid w:val="000072DC"/>
    <w:rsid w:val="00012A8D"/>
    <w:rsid w:val="000247ED"/>
    <w:rsid w:val="0002504E"/>
    <w:rsid w:val="000266FF"/>
    <w:rsid w:val="00026CAD"/>
    <w:rsid w:val="00033844"/>
    <w:rsid w:val="00034FA8"/>
    <w:rsid w:val="000366CA"/>
    <w:rsid w:val="00037672"/>
    <w:rsid w:val="00043793"/>
    <w:rsid w:val="00044FB4"/>
    <w:rsid w:val="00046D9F"/>
    <w:rsid w:val="0005153F"/>
    <w:rsid w:val="00055467"/>
    <w:rsid w:val="00057CFD"/>
    <w:rsid w:val="000609C7"/>
    <w:rsid w:val="00060CC0"/>
    <w:rsid w:val="00066AEA"/>
    <w:rsid w:val="000677E2"/>
    <w:rsid w:val="000678AB"/>
    <w:rsid w:val="00080676"/>
    <w:rsid w:val="00083328"/>
    <w:rsid w:val="00083F3C"/>
    <w:rsid w:val="0008510B"/>
    <w:rsid w:val="00085B4A"/>
    <w:rsid w:val="000902B9"/>
    <w:rsid w:val="000934A4"/>
    <w:rsid w:val="00093F36"/>
    <w:rsid w:val="00095265"/>
    <w:rsid w:val="000A0B28"/>
    <w:rsid w:val="000A25BC"/>
    <w:rsid w:val="000A5452"/>
    <w:rsid w:val="000A72A6"/>
    <w:rsid w:val="000B7E18"/>
    <w:rsid w:val="000C2549"/>
    <w:rsid w:val="000C3F69"/>
    <w:rsid w:val="000C41E3"/>
    <w:rsid w:val="000C6A3F"/>
    <w:rsid w:val="000C72DD"/>
    <w:rsid w:val="000D0611"/>
    <w:rsid w:val="000D08C8"/>
    <w:rsid w:val="000D1F0E"/>
    <w:rsid w:val="000D34AC"/>
    <w:rsid w:val="000D3F46"/>
    <w:rsid w:val="000D78F8"/>
    <w:rsid w:val="000E12D3"/>
    <w:rsid w:val="000E1C10"/>
    <w:rsid w:val="000E38EF"/>
    <w:rsid w:val="000E603E"/>
    <w:rsid w:val="000E62FB"/>
    <w:rsid w:val="000F24C8"/>
    <w:rsid w:val="000F59CF"/>
    <w:rsid w:val="001178C8"/>
    <w:rsid w:val="0012078D"/>
    <w:rsid w:val="00121D9C"/>
    <w:rsid w:val="001305DB"/>
    <w:rsid w:val="0013649C"/>
    <w:rsid w:val="00140FED"/>
    <w:rsid w:val="00144028"/>
    <w:rsid w:val="00147380"/>
    <w:rsid w:val="001479F3"/>
    <w:rsid w:val="00152C4F"/>
    <w:rsid w:val="001553BA"/>
    <w:rsid w:val="001559A8"/>
    <w:rsid w:val="00155FEC"/>
    <w:rsid w:val="001569FA"/>
    <w:rsid w:val="00156C97"/>
    <w:rsid w:val="00173CAC"/>
    <w:rsid w:val="00177AF9"/>
    <w:rsid w:val="00183D9A"/>
    <w:rsid w:val="00187312"/>
    <w:rsid w:val="0018767E"/>
    <w:rsid w:val="001A2689"/>
    <w:rsid w:val="001A45DA"/>
    <w:rsid w:val="001B18A2"/>
    <w:rsid w:val="001B6061"/>
    <w:rsid w:val="001B776A"/>
    <w:rsid w:val="001C1DD0"/>
    <w:rsid w:val="001C609F"/>
    <w:rsid w:val="001D02B4"/>
    <w:rsid w:val="001D0488"/>
    <w:rsid w:val="001D1E78"/>
    <w:rsid w:val="001D4DC6"/>
    <w:rsid w:val="001D53BD"/>
    <w:rsid w:val="001D70DB"/>
    <w:rsid w:val="001D79D5"/>
    <w:rsid w:val="001E4461"/>
    <w:rsid w:val="001F12C7"/>
    <w:rsid w:val="001F13A5"/>
    <w:rsid w:val="00205DD9"/>
    <w:rsid w:val="00207BEB"/>
    <w:rsid w:val="002148D4"/>
    <w:rsid w:val="00214A14"/>
    <w:rsid w:val="00221CDD"/>
    <w:rsid w:val="00221FCB"/>
    <w:rsid w:val="00223AAD"/>
    <w:rsid w:val="00225CCA"/>
    <w:rsid w:val="00237F5D"/>
    <w:rsid w:val="002452E9"/>
    <w:rsid w:val="00255F47"/>
    <w:rsid w:val="002569BE"/>
    <w:rsid w:val="002614C8"/>
    <w:rsid w:val="00261ACA"/>
    <w:rsid w:val="00266196"/>
    <w:rsid w:val="002666BE"/>
    <w:rsid w:val="00267030"/>
    <w:rsid w:val="00267B74"/>
    <w:rsid w:val="00271E04"/>
    <w:rsid w:val="00272A96"/>
    <w:rsid w:val="00273560"/>
    <w:rsid w:val="002750F1"/>
    <w:rsid w:val="00275AC1"/>
    <w:rsid w:val="00276DED"/>
    <w:rsid w:val="00277492"/>
    <w:rsid w:val="002810B7"/>
    <w:rsid w:val="0028386A"/>
    <w:rsid w:val="00286445"/>
    <w:rsid w:val="00292D83"/>
    <w:rsid w:val="00294FC9"/>
    <w:rsid w:val="002A4167"/>
    <w:rsid w:val="002B3F53"/>
    <w:rsid w:val="002B7C3F"/>
    <w:rsid w:val="002C2010"/>
    <w:rsid w:val="002C4D82"/>
    <w:rsid w:val="002C53A5"/>
    <w:rsid w:val="002C5A50"/>
    <w:rsid w:val="002C6BCA"/>
    <w:rsid w:val="002E5BDB"/>
    <w:rsid w:val="002E7BE6"/>
    <w:rsid w:val="002F0061"/>
    <w:rsid w:val="002F278E"/>
    <w:rsid w:val="00302E74"/>
    <w:rsid w:val="00305F94"/>
    <w:rsid w:val="00315442"/>
    <w:rsid w:val="00315E30"/>
    <w:rsid w:val="003163A0"/>
    <w:rsid w:val="00320B1A"/>
    <w:rsid w:val="00325D33"/>
    <w:rsid w:val="00330E3F"/>
    <w:rsid w:val="00330F1E"/>
    <w:rsid w:val="003319E7"/>
    <w:rsid w:val="00332E70"/>
    <w:rsid w:val="003354A8"/>
    <w:rsid w:val="00346400"/>
    <w:rsid w:val="00347F90"/>
    <w:rsid w:val="003564AF"/>
    <w:rsid w:val="00363E78"/>
    <w:rsid w:val="00366EDF"/>
    <w:rsid w:val="00374F2D"/>
    <w:rsid w:val="00375EB2"/>
    <w:rsid w:val="00377E42"/>
    <w:rsid w:val="00377ECB"/>
    <w:rsid w:val="0038144A"/>
    <w:rsid w:val="0038368A"/>
    <w:rsid w:val="00384668"/>
    <w:rsid w:val="0038548F"/>
    <w:rsid w:val="00385E14"/>
    <w:rsid w:val="003874F5"/>
    <w:rsid w:val="0038782C"/>
    <w:rsid w:val="00393C01"/>
    <w:rsid w:val="00393E1B"/>
    <w:rsid w:val="00397675"/>
    <w:rsid w:val="00397E7E"/>
    <w:rsid w:val="003A4492"/>
    <w:rsid w:val="003A64B8"/>
    <w:rsid w:val="003A67C5"/>
    <w:rsid w:val="003A74F5"/>
    <w:rsid w:val="003A78DD"/>
    <w:rsid w:val="003B6487"/>
    <w:rsid w:val="003C0D55"/>
    <w:rsid w:val="003C2F16"/>
    <w:rsid w:val="003D1FD8"/>
    <w:rsid w:val="003D2BD7"/>
    <w:rsid w:val="003D32CB"/>
    <w:rsid w:val="003D4870"/>
    <w:rsid w:val="003D58AF"/>
    <w:rsid w:val="003E0AAD"/>
    <w:rsid w:val="003E14EA"/>
    <w:rsid w:val="003E3207"/>
    <w:rsid w:val="003E41E8"/>
    <w:rsid w:val="003E554B"/>
    <w:rsid w:val="003E6E81"/>
    <w:rsid w:val="003F077C"/>
    <w:rsid w:val="003F2143"/>
    <w:rsid w:val="003F22EB"/>
    <w:rsid w:val="003F4725"/>
    <w:rsid w:val="003F4CC2"/>
    <w:rsid w:val="00401E32"/>
    <w:rsid w:val="00401FED"/>
    <w:rsid w:val="00404260"/>
    <w:rsid w:val="00405BFD"/>
    <w:rsid w:val="00407654"/>
    <w:rsid w:val="00413E37"/>
    <w:rsid w:val="0041597C"/>
    <w:rsid w:val="00415B53"/>
    <w:rsid w:val="00416DB4"/>
    <w:rsid w:val="00422352"/>
    <w:rsid w:val="004234D3"/>
    <w:rsid w:val="00425861"/>
    <w:rsid w:val="0042611A"/>
    <w:rsid w:val="0043030B"/>
    <w:rsid w:val="004305F3"/>
    <w:rsid w:val="00430CB6"/>
    <w:rsid w:val="0043225C"/>
    <w:rsid w:val="0043230C"/>
    <w:rsid w:val="0043783A"/>
    <w:rsid w:val="00440D1E"/>
    <w:rsid w:val="00446BBD"/>
    <w:rsid w:val="00451583"/>
    <w:rsid w:val="00451C79"/>
    <w:rsid w:val="00452B9C"/>
    <w:rsid w:val="00455BD2"/>
    <w:rsid w:val="00455F01"/>
    <w:rsid w:val="004573FC"/>
    <w:rsid w:val="00470965"/>
    <w:rsid w:val="00471D8A"/>
    <w:rsid w:val="00475B07"/>
    <w:rsid w:val="004771A9"/>
    <w:rsid w:val="00484B40"/>
    <w:rsid w:val="0048538A"/>
    <w:rsid w:val="00486C5D"/>
    <w:rsid w:val="004903C5"/>
    <w:rsid w:val="0049045B"/>
    <w:rsid w:val="00496445"/>
    <w:rsid w:val="004A4837"/>
    <w:rsid w:val="004A6313"/>
    <w:rsid w:val="004A689F"/>
    <w:rsid w:val="004A734E"/>
    <w:rsid w:val="004B388E"/>
    <w:rsid w:val="004B6619"/>
    <w:rsid w:val="004C0A65"/>
    <w:rsid w:val="004C25A8"/>
    <w:rsid w:val="004C49F6"/>
    <w:rsid w:val="004C4E96"/>
    <w:rsid w:val="004C5F32"/>
    <w:rsid w:val="004C6EF3"/>
    <w:rsid w:val="004D178D"/>
    <w:rsid w:val="004D2733"/>
    <w:rsid w:val="004D346C"/>
    <w:rsid w:val="004D4111"/>
    <w:rsid w:val="004D70EC"/>
    <w:rsid w:val="004D7A6A"/>
    <w:rsid w:val="004E644C"/>
    <w:rsid w:val="004F0CC8"/>
    <w:rsid w:val="004F1ED4"/>
    <w:rsid w:val="004F27D8"/>
    <w:rsid w:val="004F384F"/>
    <w:rsid w:val="004F45BD"/>
    <w:rsid w:val="005004D3"/>
    <w:rsid w:val="00504D09"/>
    <w:rsid w:val="005100E0"/>
    <w:rsid w:val="005119FA"/>
    <w:rsid w:val="00530DA3"/>
    <w:rsid w:val="005310DC"/>
    <w:rsid w:val="00531EF0"/>
    <w:rsid w:val="00536603"/>
    <w:rsid w:val="0054520F"/>
    <w:rsid w:val="00552574"/>
    <w:rsid w:val="00554474"/>
    <w:rsid w:val="00554E2F"/>
    <w:rsid w:val="005553D4"/>
    <w:rsid w:val="005613D1"/>
    <w:rsid w:val="00561FC3"/>
    <w:rsid w:val="00563567"/>
    <w:rsid w:val="005678B8"/>
    <w:rsid w:val="00574BC7"/>
    <w:rsid w:val="00576AA1"/>
    <w:rsid w:val="00577462"/>
    <w:rsid w:val="00582B6F"/>
    <w:rsid w:val="00585CB1"/>
    <w:rsid w:val="005929EF"/>
    <w:rsid w:val="00597A23"/>
    <w:rsid w:val="00597D7F"/>
    <w:rsid w:val="005A2366"/>
    <w:rsid w:val="005A2724"/>
    <w:rsid w:val="005A38CA"/>
    <w:rsid w:val="005A3C2D"/>
    <w:rsid w:val="005A4501"/>
    <w:rsid w:val="005A45EF"/>
    <w:rsid w:val="005A6569"/>
    <w:rsid w:val="005A68EC"/>
    <w:rsid w:val="005A6B05"/>
    <w:rsid w:val="005B1883"/>
    <w:rsid w:val="005B21DC"/>
    <w:rsid w:val="005B2D9F"/>
    <w:rsid w:val="005B3CD1"/>
    <w:rsid w:val="005B7017"/>
    <w:rsid w:val="005C506F"/>
    <w:rsid w:val="005C72F6"/>
    <w:rsid w:val="005D06EB"/>
    <w:rsid w:val="005D2B52"/>
    <w:rsid w:val="005D4621"/>
    <w:rsid w:val="005D5999"/>
    <w:rsid w:val="005D5A8A"/>
    <w:rsid w:val="005E00C6"/>
    <w:rsid w:val="005E3778"/>
    <w:rsid w:val="005E7991"/>
    <w:rsid w:val="005F1FE0"/>
    <w:rsid w:val="005F2FD7"/>
    <w:rsid w:val="005F4442"/>
    <w:rsid w:val="005F4CC2"/>
    <w:rsid w:val="005F513E"/>
    <w:rsid w:val="005F6B31"/>
    <w:rsid w:val="00624F95"/>
    <w:rsid w:val="00625115"/>
    <w:rsid w:val="00625A55"/>
    <w:rsid w:val="00627F37"/>
    <w:rsid w:val="006301AF"/>
    <w:rsid w:val="00636E49"/>
    <w:rsid w:val="0065068B"/>
    <w:rsid w:val="00650B62"/>
    <w:rsid w:val="00657BC7"/>
    <w:rsid w:val="00661656"/>
    <w:rsid w:val="00662744"/>
    <w:rsid w:val="0066451B"/>
    <w:rsid w:val="00665AA4"/>
    <w:rsid w:val="0067012D"/>
    <w:rsid w:val="00672A23"/>
    <w:rsid w:val="00674367"/>
    <w:rsid w:val="00674B69"/>
    <w:rsid w:val="006754A1"/>
    <w:rsid w:val="006775E8"/>
    <w:rsid w:val="00692C07"/>
    <w:rsid w:val="0069414D"/>
    <w:rsid w:val="006A729C"/>
    <w:rsid w:val="006B01F9"/>
    <w:rsid w:val="006B06B8"/>
    <w:rsid w:val="006B28D6"/>
    <w:rsid w:val="006B3D8A"/>
    <w:rsid w:val="006B413E"/>
    <w:rsid w:val="006C67F7"/>
    <w:rsid w:val="006C6EBB"/>
    <w:rsid w:val="006C7769"/>
    <w:rsid w:val="006D1862"/>
    <w:rsid w:val="006D4945"/>
    <w:rsid w:val="006E139F"/>
    <w:rsid w:val="006E273D"/>
    <w:rsid w:val="006E36AC"/>
    <w:rsid w:val="006E544B"/>
    <w:rsid w:val="006E6522"/>
    <w:rsid w:val="006E7117"/>
    <w:rsid w:val="006E74A6"/>
    <w:rsid w:val="006E763E"/>
    <w:rsid w:val="006F14D7"/>
    <w:rsid w:val="006F3069"/>
    <w:rsid w:val="006F5168"/>
    <w:rsid w:val="0070044C"/>
    <w:rsid w:val="00703062"/>
    <w:rsid w:val="00705B44"/>
    <w:rsid w:val="007079AE"/>
    <w:rsid w:val="007130D0"/>
    <w:rsid w:val="0071655D"/>
    <w:rsid w:val="00717573"/>
    <w:rsid w:val="007235F2"/>
    <w:rsid w:val="00723E58"/>
    <w:rsid w:val="00727D6D"/>
    <w:rsid w:val="007328CF"/>
    <w:rsid w:val="007370FD"/>
    <w:rsid w:val="0074221E"/>
    <w:rsid w:val="0075047F"/>
    <w:rsid w:val="0075243D"/>
    <w:rsid w:val="007532A8"/>
    <w:rsid w:val="0076234D"/>
    <w:rsid w:val="007660A7"/>
    <w:rsid w:val="0077085B"/>
    <w:rsid w:val="00775F87"/>
    <w:rsid w:val="00783773"/>
    <w:rsid w:val="007841C8"/>
    <w:rsid w:val="007843FD"/>
    <w:rsid w:val="00785C7F"/>
    <w:rsid w:val="007865EE"/>
    <w:rsid w:val="00787510"/>
    <w:rsid w:val="0079115B"/>
    <w:rsid w:val="007911A4"/>
    <w:rsid w:val="00792AB7"/>
    <w:rsid w:val="00797460"/>
    <w:rsid w:val="007A25E4"/>
    <w:rsid w:val="007A28B8"/>
    <w:rsid w:val="007A5E9F"/>
    <w:rsid w:val="007A6B61"/>
    <w:rsid w:val="007A7CEC"/>
    <w:rsid w:val="007B16E9"/>
    <w:rsid w:val="007C4126"/>
    <w:rsid w:val="007C415F"/>
    <w:rsid w:val="007C675F"/>
    <w:rsid w:val="007C6CE9"/>
    <w:rsid w:val="007C78A2"/>
    <w:rsid w:val="007C7BB3"/>
    <w:rsid w:val="007D0390"/>
    <w:rsid w:val="007D6036"/>
    <w:rsid w:val="007E0A86"/>
    <w:rsid w:val="007E20EC"/>
    <w:rsid w:val="007E37E0"/>
    <w:rsid w:val="007E381F"/>
    <w:rsid w:val="007F0CF8"/>
    <w:rsid w:val="007F27C9"/>
    <w:rsid w:val="007F31A9"/>
    <w:rsid w:val="007F4383"/>
    <w:rsid w:val="00802D69"/>
    <w:rsid w:val="008036BB"/>
    <w:rsid w:val="008038FA"/>
    <w:rsid w:val="00805E5C"/>
    <w:rsid w:val="00810A6C"/>
    <w:rsid w:val="008139A8"/>
    <w:rsid w:val="00813FF3"/>
    <w:rsid w:val="008150F2"/>
    <w:rsid w:val="008203D9"/>
    <w:rsid w:val="0082047B"/>
    <w:rsid w:val="008206DC"/>
    <w:rsid w:val="00825BF5"/>
    <w:rsid w:val="00833242"/>
    <w:rsid w:val="00840194"/>
    <w:rsid w:val="00840E5A"/>
    <w:rsid w:val="00841585"/>
    <w:rsid w:val="00844376"/>
    <w:rsid w:val="008506BC"/>
    <w:rsid w:val="00852186"/>
    <w:rsid w:val="00856A0B"/>
    <w:rsid w:val="00863438"/>
    <w:rsid w:val="00864FA4"/>
    <w:rsid w:val="00865BA1"/>
    <w:rsid w:val="008679B3"/>
    <w:rsid w:val="00872C04"/>
    <w:rsid w:val="008740AB"/>
    <w:rsid w:val="008769A0"/>
    <w:rsid w:val="00882250"/>
    <w:rsid w:val="00885C81"/>
    <w:rsid w:val="00887F6D"/>
    <w:rsid w:val="00892560"/>
    <w:rsid w:val="00893274"/>
    <w:rsid w:val="0089384F"/>
    <w:rsid w:val="0089601B"/>
    <w:rsid w:val="0089634A"/>
    <w:rsid w:val="008A09D1"/>
    <w:rsid w:val="008A4378"/>
    <w:rsid w:val="008A6300"/>
    <w:rsid w:val="008B1CF6"/>
    <w:rsid w:val="008B5C42"/>
    <w:rsid w:val="008C410F"/>
    <w:rsid w:val="008C6DC8"/>
    <w:rsid w:val="008D1B35"/>
    <w:rsid w:val="008E4491"/>
    <w:rsid w:val="008F5FC0"/>
    <w:rsid w:val="009006AF"/>
    <w:rsid w:val="009019CE"/>
    <w:rsid w:val="00902DC0"/>
    <w:rsid w:val="00902F77"/>
    <w:rsid w:val="009064B2"/>
    <w:rsid w:val="0091119F"/>
    <w:rsid w:val="00911471"/>
    <w:rsid w:val="00913029"/>
    <w:rsid w:val="00914EBB"/>
    <w:rsid w:val="009225C8"/>
    <w:rsid w:val="0092406C"/>
    <w:rsid w:val="00926D20"/>
    <w:rsid w:val="009276AB"/>
    <w:rsid w:val="00930DF9"/>
    <w:rsid w:val="009310AA"/>
    <w:rsid w:val="00932CEF"/>
    <w:rsid w:val="00933CBF"/>
    <w:rsid w:val="009357D9"/>
    <w:rsid w:val="00937A3C"/>
    <w:rsid w:val="0094137A"/>
    <w:rsid w:val="009415AF"/>
    <w:rsid w:val="009436F8"/>
    <w:rsid w:val="00947F2B"/>
    <w:rsid w:val="00950157"/>
    <w:rsid w:val="0095172B"/>
    <w:rsid w:val="009602F1"/>
    <w:rsid w:val="00960661"/>
    <w:rsid w:val="00961F16"/>
    <w:rsid w:val="009632E8"/>
    <w:rsid w:val="00965409"/>
    <w:rsid w:val="0096621F"/>
    <w:rsid w:val="0097036D"/>
    <w:rsid w:val="0097405E"/>
    <w:rsid w:val="00975625"/>
    <w:rsid w:val="009779E7"/>
    <w:rsid w:val="00982D9E"/>
    <w:rsid w:val="009853C0"/>
    <w:rsid w:val="0098590A"/>
    <w:rsid w:val="009957C1"/>
    <w:rsid w:val="00996546"/>
    <w:rsid w:val="009974BD"/>
    <w:rsid w:val="009975CC"/>
    <w:rsid w:val="009A493A"/>
    <w:rsid w:val="009A7BA9"/>
    <w:rsid w:val="009B09F8"/>
    <w:rsid w:val="009B50CA"/>
    <w:rsid w:val="009B673C"/>
    <w:rsid w:val="009B72E4"/>
    <w:rsid w:val="009B7CE1"/>
    <w:rsid w:val="009C5F13"/>
    <w:rsid w:val="009D1488"/>
    <w:rsid w:val="009D3869"/>
    <w:rsid w:val="009D43C5"/>
    <w:rsid w:val="009D4F64"/>
    <w:rsid w:val="009D7202"/>
    <w:rsid w:val="009D74A1"/>
    <w:rsid w:val="009E546C"/>
    <w:rsid w:val="009E5D67"/>
    <w:rsid w:val="009F0298"/>
    <w:rsid w:val="009F3F26"/>
    <w:rsid w:val="009F576E"/>
    <w:rsid w:val="009F7CCE"/>
    <w:rsid w:val="00A00665"/>
    <w:rsid w:val="00A00ABA"/>
    <w:rsid w:val="00A0142D"/>
    <w:rsid w:val="00A02915"/>
    <w:rsid w:val="00A203F8"/>
    <w:rsid w:val="00A22AA6"/>
    <w:rsid w:val="00A236DC"/>
    <w:rsid w:val="00A24914"/>
    <w:rsid w:val="00A2666B"/>
    <w:rsid w:val="00A30974"/>
    <w:rsid w:val="00A33F96"/>
    <w:rsid w:val="00A34029"/>
    <w:rsid w:val="00A41C2C"/>
    <w:rsid w:val="00A41C5A"/>
    <w:rsid w:val="00A42DB6"/>
    <w:rsid w:val="00A42E65"/>
    <w:rsid w:val="00A43609"/>
    <w:rsid w:val="00A43AFF"/>
    <w:rsid w:val="00A444E3"/>
    <w:rsid w:val="00A46083"/>
    <w:rsid w:val="00A5351D"/>
    <w:rsid w:val="00A54815"/>
    <w:rsid w:val="00A566B5"/>
    <w:rsid w:val="00A572DB"/>
    <w:rsid w:val="00A62F1A"/>
    <w:rsid w:val="00A7338B"/>
    <w:rsid w:val="00A734EE"/>
    <w:rsid w:val="00A746D6"/>
    <w:rsid w:val="00A747F5"/>
    <w:rsid w:val="00A85CB4"/>
    <w:rsid w:val="00A879AD"/>
    <w:rsid w:val="00A93289"/>
    <w:rsid w:val="00AA3C14"/>
    <w:rsid w:val="00AA5595"/>
    <w:rsid w:val="00AA73ED"/>
    <w:rsid w:val="00AB023A"/>
    <w:rsid w:val="00AB4D87"/>
    <w:rsid w:val="00AC1FA8"/>
    <w:rsid w:val="00AC25F4"/>
    <w:rsid w:val="00AC4716"/>
    <w:rsid w:val="00AD05DC"/>
    <w:rsid w:val="00AD0FA2"/>
    <w:rsid w:val="00AD51BF"/>
    <w:rsid w:val="00AD555C"/>
    <w:rsid w:val="00AD7249"/>
    <w:rsid w:val="00AE02FA"/>
    <w:rsid w:val="00AE0BFF"/>
    <w:rsid w:val="00AE20A5"/>
    <w:rsid w:val="00AE58E2"/>
    <w:rsid w:val="00AE784A"/>
    <w:rsid w:val="00AF0929"/>
    <w:rsid w:val="00AF4063"/>
    <w:rsid w:val="00AF4B90"/>
    <w:rsid w:val="00AF5014"/>
    <w:rsid w:val="00AF5D8C"/>
    <w:rsid w:val="00B033F1"/>
    <w:rsid w:val="00B07C44"/>
    <w:rsid w:val="00B10FFC"/>
    <w:rsid w:val="00B23C6A"/>
    <w:rsid w:val="00B30F7B"/>
    <w:rsid w:val="00B32178"/>
    <w:rsid w:val="00B32870"/>
    <w:rsid w:val="00B36EBF"/>
    <w:rsid w:val="00B41EC5"/>
    <w:rsid w:val="00B42A15"/>
    <w:rsid w:val="00B44155"/>
    <w:rsid w:val="00B44667"/>
    <w:rsid w:val="00B46BF1"/>
    <w:rsid w:val="00B506D2"/>
    <w:rsid w:val="00B51DF0"/>
    <w:rsid w:val="00B5267C"/>
    <w:rsid w:val="00B53C4F"/>
    <w:rsid w:val="00B546BE"/>
    <w:rsid w:val="00B56577"/>
    <w:rsid w:val="00B571BD"/>
    <w:rsid w:val="00B62AEE"/>
    <w:rsid w:val="00B64C76"/>
    <w:rsid w:val="00B71F9D"/>
    <w:rsid w:val="00B72967"/>
    <w:rsid w:val="00B75074"/>
    <w:rsid w:val="00B843D2"/>
    <w:rsid w:val="00B872DC"/>
    <w:rsid w:val="00B92E3C"/>
    <w:rsid w:val="00B96E6F"/>
    <w:rsid w:val="00B97BAB"/>
    <w:rsid w:val="00BA19AD"/>
    <w:rsid w:val="00BA356C"/>
    <w:rsid w:val="00BA5B59"/>
    <w:rsid w:val="00BB2110"/>
    <w:rsid w:val="00BB5287"/>
    <w:rsid w:val="00BB58F5"/>
    <w:rsid w:val="00BB5D9D"/>
    <w:rsid w:val="00BC0E69"/>
    <w:rsid w:val="00BC3DA3"/>
    <w:rsid w:val="00BC6F9A"/>
    <w:rsid w:val="00BD1C83"/>
    <w:rsid w:val="00BD241E"/>
    <w:rsid w:val="00BD34AF"/>
    <w:rsid w:val="00BD42A7"/>
    <w:rsid w:val="00BD450C"/>
    <w:rsid w:val="00BD5466"/>
    <w:rsid w:val="00BE2E5F"/>
    <w:rsid w:val="00BE4BE0"/>
    <w:rsid w:val="00BE5CE6"/>
    <w:rsid w:val="00BF3593"/>
    <w:rsid w:val="00C008AC"/>
    <w:rsid w:val="00C05329"/>
    <w:rsid w:val="00C05F00"/>
    <w:rsid w:val="00C141C1"/>
    <w:rsid w:val="00C22BEA"/>
    <w:rsid w:val="00C25908"/>
    <w:rsid w:val="00C265FD"/>
    <w:rsid w:val="00C2777D"/>
    <w:rsid w:val="00C27EB6"/>
    <w:rsid w:val="00C31137"/>
    <w:rsid w:val="00C32BE5"/>
    <w:rsid w:val="00C36230"/>
    <w:rsid w:val="00C4560F"/>
    <w:rsid w:val="00C4562A"/>
    <w:rsid w:val="00C45E6E"/>
    <w:rsid w:val="00C45F83"/>
    <w:rsid w:val="00C53800"/>
    <w:rsid w:val="00C53839"/>
    <w:rsid w:val="00C55CBB"/>
    <w:rsid w:val="00C60E94"/>
    <w:rsid w:val="00C61791"/>
    <w:rsid w:val="00C64AFB"/>
    <w:rsid w:val="00C667CD"/>
    <w:rsid w:val="00C736EC"/>
    <w:rsid w:val="00C74455"/>
    <w:rsid w:val="00C77A3D"/>
    <w:rsid w:val="00C85354"/>
    <w:rsid w:val="00C864F1"/>
    <w:rsid w:val="00C91C16"/>
    <w:rsid w:val="00C926C0"/>
    <w:rsid w:val="00C94F93"/>
    <w:rsid w:val="00CB0F73"/>
    <w:rsid w:val="00CB26E0"/>
    <w:rsid w:val="00CB5B6F"/>
    <w:rsid w:val="00CD21F1"/>
    <w:rsid w:val="00CD74E2"/>
    <w:rsid w:val="00CD79A8"/>
    <w:rsid w:val="00CE1589"/>
    <w:rsid w:val="00CE6F10"/>
    <w:rsid w:val="00CF0163"/>
    <w:rsid w:val="00CF1673"/>
    <w:rsid w:val="00CF3098"/>
    <w:rsid w:val="00D01D76"/>
    <w:rsid w:val="00D03536"/>
    <w:rsid w:val="00D04EFF"/>
    <w:rsid w:val="00D05130"/>
    <w:rsid w:val="00D05413"/>
    <w:rsid w:val="00D115B7"/>
    <w:rsid w:val="00D12425"/>
    <w:rsid w:val="00D13184"/>
    <w:rsid w:val="00D13434"/>
    <w:rsid w:val="00D15332"/>
    <w:rsid w:val="00D162A2"/>
    <w:rsid w:val="00D27999"/>
    <w:rsid w:val="00D34014"/>
    <w:rsid w:val="00D343ED"/>
    <w:rsid w:val="00D3597F"/>
    <w:rsid w:val="00D36451"/>
    <w:rsid w:val="00D40E1C"/>
    <w:rsid w:val="00D5149C"/>
    <w:rsid w:val="00D51D3B"/>
    <w:rsid w:val="00D55CA4"/>
    <w:rsid w:val="00D56EBF"/>
    <w:rsid w:val="00D57467"/>
    <w:rsid w:val="00D62A9B"/>
    <w:rsid w:val="00D65261"/>
    <w:rsid w:val="00D65C9B"/>
    <w:rsid w:val="00D7068B"/>
    <w:rsid w:val="00D711C1"/>
    <w:rsid w:val="00D73C74"/>
    <w:rsid w:val="00D75181"/>
    <w:rsid w:val="00D76D96"/>
    <w:rsid w:val="00D85CB6"/>
    <w:rsid w:val="00D90F19"/>
    <w:rsid w:val="00D92819"/>
    <w:rsid w:val="00D930FB"/>
    <w:rsid w:val="00D94A8E"/>
    <w:rsid w:val="00D94ABF"/>
    <w:rsid w:val="00D958D8"/>
    <w:rsid w:val="00D95B1A"/>
    <w:rsid w:val="00D96761"/>
    <w:rsid w:val="00DA7F3E"/>
    <w:rsid w:val="00DB7659"/>
    <w:rsid w:val="00DC132A"/>
    <w:rsid w:val="00DC317E"/>
    <w:rsid w:val="00DC44E2"/>
    <w:rsid w:val="00DC47A0"/>
    <w:rsid w:val="00DC5130"/>
    <w:rsid w:val="00DD1D56"/>
    <w:rsid w:val="00DD20E8"/>
    <w:rsid w:val="00DE6573"/>
    <w:rsid w:val="00DF1B60"/>
    <w:rsid w:val="00DF392E"/>
    <w:rsid w:val="00E00429"/>
    <w:rsid w:val="00E04AE1"/>
    <w:rsid w:val="00E068F3"/>
    <w:rsid w:val="00E07C3F"/>
    <w:rsid w:val="00E119EC"/>
    <w:rsid w:val="00E11D64"/>
    <w:rsid w:val="00E13117"/>
    <w:rsid w:val="00E140F4"/>
    <w:rsid w:val="00E16210"/>
    <w:rsid w:val="00E25137"/>
    <w:rsid w:val="00E30FB9"/>
    <w:rsid w:val="00E524E9"/>
    <w:rsid w:val="00E53943"/>
    <w:rsid w:val="00E546BF"/>
    <w:rsid w:val="00E6471F"/>
    <w:rsid w:val="00E65734"/>
    <w:rsid w:val="00E6709E"/>
    <w:rsid w:val="00E72D38"/>
    <w:rsid w:val="00E7332D"/>
    <w:rsid w:val="00E737CC"/>
    <w:rsid w:val="00E75369"/>
    <w:rsid w:val="00E75E28"/>
    <w:rsid w:val="00E7776A"/>
    <w:rsid w:val="00E80A34"/>
    <w:rsid w:val="00E825B5"/>
    <w:rsid w:val="00E95B31"/>
    <w:rsid w:val="00E97478"/>
    <w:rsid w:val="00EA4EC6"/>
    <w:rsid w:val="00EA578E"/>
    <w:rsid w:val="00EC1E76"/>
    <w:rsid w:val="00EC2013"/>
    <w:rsid w:val="00EC388B"/>
    <w:rsid w:val="00EC4328"/>
    <w:rsid w:val="00ED03E8"/>
    <w:rsid w:val="00ED1E22"/>
    <w:rsid w:val="00ED5FEF"/>
    <w:rsid w:val="00ED7517"/>
    <w:rsid w:val="00EE37F6"/>
    <w:rsid w:val="00EE3926"/>
    <w:rsid w:val="00EE5AB7"/>
    <w:rsid w:val="00EE7216"/>
    <w:rsid w:val="00EF3619"/>
    <w:rsid w:val="00EF56A1"/>
    <w:rsid w:val="00EF68D6"/>
    <w:rsid w:val="00EF70B3"/>
    <w:rsid w:val="00F01C04"/>
    <w:rsid w:val="00F036DA"/>
    <w:rsid w:val="00F07AE0"/>
    <w:rsid w:val="00F101D8"/>
    <w:rsid w:val="00F11989"/>
    <w:rsid w:val="00F14C7A"/>
    <w:rsid w:val="00F2187B"/>
    <w:rsid w:val="00F2241B"/>
    <w:rsid w:val="00F31464"/>
    <w:rsid w:val="00F335EF"/>
    <w:rsid w:val="00F40592"/>
    <w:rsid w:val="00F42407"/>
    <w:rsid w:val="00F45074"/>
    <w:rsid w:val="00F45C22"/>
    <w:rsid w:val="00F46BCE"/>
    <w:rsid w:val="00F52CF5"/>
    <w:rsid w:val="00F56592"/>
    <w:rsid w:val="00F6282A"/>
    <w:rsid w:val="00F66880"/>
    <w:rsid w:val="00F6710E"/>
    <w:rsid w:val="00F70CB0"/>
    <w:rsid w:val="00F72425"/>
    <w:rsid w:val="00F7400C"/>
    <w:rsid w:val="00F74B1B"/>
    <w:rsid w:val="00F769A2"/>
    <w:rsid w:val="00F82AB0"/>
    <w:rsid w:val="00F83132"/>
    <w:rsid w:val="00F86A52"/>
    <w:rsid w:val="00F8729A"/>
    <w:rsid w:val="00F91C10"/>
    <w:rsid w:val="00F957F1"/>
    <w:rsid w:val="00F96F42"/>
    <w:rsid w:val="00F974D2"/>
    <w:rsid w:val="00FA3C43"/>
    <w:rsid w:val="00FB147E"/>
    <w:rsid w:val="00FB26A1"/>
    <w:rsid w:val="00FC0B76"/>
    <w:rsid w:val="00FC0C9E"/>
    <w:rsid w:val="00FC35BC"/>
    <w:rsid w:val="00FC40DC"/>
    <w:rsid w:val="00FC5AAE"/>
    <w:rsid w:val="00FC5D05"/>
    <w:rsid w:val="00FC66DB"/>
    <w:rsid w:val="00FD4453"/>
    <w:rsid w:val="00FD4AA2"/>
    <w:rsid w:val="00FF018B"/>
    <w:rsid w:val="00FF1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D06EB"/>
    <w:pPr>
      <w:widowControl w:val="0"/>
      <w:jc w:val="both"/>
    </w:pPr>
    <w:rPr>
      <w:rFonts w:asciiTheme="minorHAnsi" w:eastAsiaTheme="minorEastAsia" w:hAnsiTheme="minorHAnsi" w:cstheme="minorBidi"/>
      <w:kern w:val="2"/>
      <w:sz w:val="21"/>
      <w:szCs w:val="22"/>
    </w:rPr>
  </w:style>
  <w:style w:type="paragraph" w:styleId="10">
    <w:name w:val="heading 1"/>
    <w:basedOn w:val="a0"/>
    <w:next w:val="a0"/>
    <w:qFormat/>
    <w:rsid w:val="006C67F7"/>
    <w:pPr>
      <w:keepNext/>
      <w:numPr>
        <w:numId w:val="6"/>
      </w:numPr>
      <w:ind w:firstLine="0"/>
      <w:outlineLvl w:val="0"/>
    </w:pPr>
    <w:rPr>
      <w:rFonts w:cs="Times New Roman"/>
      <w:b/>
      <w:sz w:val="28"/>
      <w:szCs w:val="24"/>
    </w:rPr>
  </w:style>
  <w:style w:type="paragraph" w:styleId="2">
    <w:name w:val="heading 2"/>
    <w:basedOn w:val="a0"/>
    <w:next w:val="a1"/>
    <w:link w:val="20"/>
    <w:qFormat/>
    <w:rsid w:val="006C67F7"/>
    <w:pPr>
      <w:keepNext/>
      <w:numPr>
        <w:ilvl w:val="1"/>
        <w:numId w:val="6"/>
      </w:numPr>
      <w:pBdr>
        <w:bottom w:val="single" w:sz="4" w:space="1" w:color="auto"/>
      </w:pBdr>
      <w:tabs>
        <w:tab w:val="left" w:pos="851"/>
      </w:tabs>
      <w:spacing w:after="80" w:line="320" w:lineRule="exact"/>
      <w:ind w:firstLine="0"/>
      <w:textAlignment w:val="baseline"/>
      <w:outlineLvl w:val="1"/>
    </w:pPr>
    <w:rPr>
      <w:rFonts w:eastAsia="ＭＳ Ｐゴシック" w:cs="Times New Roman"/>
      <w:b/>
      <w:sz w:val="28"/>
      <w:szCs w:val="20"/>
    </w:rPr>
  </w:style>
  <w:style w:type="paragraph" w:styleId="3">
    <w:name w:val="heading 3"/>
    <w:basedOn w:val="a0"/>
    <w:next w:val="a1"/>
    <w:qFormat/>
    <w:rsid w:val="006C67F7"/>
    <w:pPr>
      <w:keepNext/>
      <w:numPr>
        <w:ilvl w:val="2"/>
        <w:numId w:val="2"/>
      </w:numPr>
      <w:tabs>
        <w:tab w:val="num" w:pos="724"/>
      </w:tabs>
      <w:spacing w:after="80" w:line="320" w:lineRule="exact"/>
      <w:ind w:left="724" w:hanging="724"/>
      <w:textAlignment w:val="baseline"/>
      <w:outlineLvl w:val="2"/>
    </w:pPr>
    <w:rPr>
      <w:rFonts w:eastAsia="ＭＳ Ｐゴシック" w:cs="Times New Roman"/>
      <w:b/>
      <w:szCs w:val="20"/>
      <w:u w:val="single"/>
    </w:rPr>
  </w:style>
  <w:style w:type="paragraph" w:styleId="4">
    <w:name w:val="heading 4"/>
    <w:basedOn w:val="a0"/>
    <w:next w:val="a1"/>
    <w:qFormat/>
    <w:rsid w:val="006C67F7"/>
    <w:pPr>
      <w:keepNext/>
      <w:numPr>
        <w:ilvl w:val="3"/>
        <w:numId w:val="2"/>
      </w:numPr>
      <w:adjustRightInd w:val="0"/>
      <w:spacing w:after="80" w:line="320" w:lineRule="exact"/>
      <w:ind w:firstLine="0"/>
      <w:textAlignment w:val="baseline"/>
      <w:outlineLvl w:val="3"/>
    </w:pPr>
    <w:rPr>
      <w:rFonts w:eastAsia="ＭＳ Ｐゴシック"/>
      <w:b/>
      <w:bCs/>
      <w:szCs w:val="20"/>
    </w:rPr>
  </w:style>
  <w:style w:type="paragraph" w:styleId="5">
    <w:name w:val="heading 5"/>
    <w:basedOn w:val="a0"/>
    <w:next w:val="a0"/>
    <w:qFormat/>
    <w:rsid w:val="006C67F7"/>
    <w:pPr>
      <w:keepNext/>
      <w:ind w:leftChars="800" w:left="800"/>
      <w:outlineLvl w:val="4"/>
    </w:pPr>
    <w:rPr>
      <w:rFonts w:cs="Times New Roman"/>
      <w:szCs w:val="24"/>
    </w:rPr>
  </w:style>
  <w:style w:type="paragraph" w:styleId="6">
    <w:name w:val="heading 6"/>
    <w:basedOn w:val="a0"/>
    <w:next w:val="a1"/>
    <w:qFormat/>
    <w:rsid w:val="006C67F7"/>
    <w:pPr>
      <w:keepNext/>
      <w:numPr>
        <w:numId w:val="1"/>
      </w:numPr>
      <w:adjustRightInd w:val="0"/>
      <w:spacing w:after="80" w:line="320" w:lineRule="atLeast"/>
      <w:ind w:firstLine="0"/>
      <w:textAlignment w:val="baseline"/>
      <w:outlineLvl w:val="5"/>
    </w:pPr>
    <w:rPr>
      <w:rFonts w:cs="Times New Roman"/>
      <w:b/>
    </w:rPr>
  </w:style>
  <w:style w:type="character" w:default="1" w:styleId="a2">
    <w:name w:val="Default Paragraph Font"/>
    <w:uiPriority w:val="1"/>
    <w:semiHidden/>
    <w:unhideWhenUsed/>
    <w:rsid w:val="005D06E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D06EB"/>
  </w:style>
  <w:style w:type="paragraph" w:styleId="a1">
    <w:name w:val="Normal Indent"/>
    <w:basedOn w:val="a0"/>
    <w:rsid w:val="006C67F7"/>
    <w:pPr>
      <w:adjustRightInd w:val="0"/>
      <w:spacing w:after="80" w:line="280" w:lineRule="exact"/>
      <w:ind w:left="754"/>
      <w:textAlignment w:val="baseline"/>
    </w:pPr>
    <w:rPr>
      <w:rFonts w:ascii="ＭＳ Ｐ明朝" w:eastAsia="ＭＳ Ｐ明朝" w:hAnsi="ＭＳ Ｐ明朝" w:cs="Times New Roman"/>
      <w:szCs w:val="20"/>
    </w:rPr>
  </w:style>
  <w:style w:type="character" w:customStyle="1" w:styleId="20">
    <w:name w:val="見出し 2 (文字)"/>
    <w:link w:val="2"/>
    <w:semiHidden/>
    <w:locked/>
    <w:rsid w:val="006C67F7"/>
    <w:rPr>
      <w:rFonts w:ascii="Arial" w:eastAsia="ＭＳ Ｐゴシック" w:hAnsi="Arial"/>
      <w:b/>
      <w:sz w:val="28"/>
      <w:lang w:val="en-US" w:eastAsia="ja-JP" w:bidi="ar-SA"/>
    </w:rPr>
  </w:style>
  <w:style w:type="paragraph" w:customStyle="1" w:styleId="Title1">
    <w:name w:val="Title 1"/>
    <w:basedOn w:val="a0"/>
    <w:next w:val="a0"/>
    <w:rsid w:val="006C67F7"/>
    <w:pPr>
      <w:widowControl/>
      <w:tabs>
        <w:tab w:val="left" w:pos="567"/>
        <w:tab w:val="left" w:pos="1134"/>
        <w:tab w:val="left" w:pos="1701"/>
        <w:tab w:val="left" w:pos="2268"/>
        <w:tab w:val="left" w:pos="2835"/>
      </w:tabs>
      <w:overflowPunct w:val="0"/>
      <w:adjustRightInd w:val="0"/>
      <w:spacing w:before="240" w:line="240" w:lineRule="atLeast"/>
      <w:jc w:val="center"/>
      <w:textAlignment w:val="baseline"/>
    </w:pPr>
    <w:rPr>
      <w:rFonts w:ascii="arial bold" w:eastAsia="ＭＳ Ｐゴシック" w:hAnsi="arial bold" w:cs="Times New Roman"/>
      <w:b/>
      <w:caps/>
      <w:sz w:val="28"/>
      <w:szCs w:val="28"/>
      <w:lang w:val="en-GB" w:eastAsia="en-US"/>
    </w:rPr>
  </w:style>
  <w:style w:type="paragraph" w:customStyle="1" w:styleId="a5">
    <w:name w:val="文書番号"/>
    <w:basedOn w:val="a0"/>
    <w:rsid w:val="006C67F7"/>
    <w:pPr>
      <w:ind w:firstLine="221"/>
    </w:pPr>
    <w:rPr>
      <w:rFonts w:cs="Times New Roman"/>
      <w:b/>
      <w:bCs/>
      <w:szCs w:val="20"/>
    </w:rPr>
  </w:style>
  <w:style w:type="paragraph" w:customStyle="1" w:styleId="Style205pt11pt">
    <w:name w:val="Style スタイル 見出し 2 + 下揃え: (細線 自動  0.5 pt 線幅 文字列との間隔 :  11 pt 罫線と文字列との..."/>
    <w:basedOn w:val="a0"/>
    <w:rsid w:val="006C67F7"/>
    <w:pPr>
      <w:keepNext/>
      <w:pBdr>
        <w:bottom w:val="single" w:sz="4" w:space="0" w:color="auto"/>
      </w:pBdr>
      <w:tabs>
        <w:tab w:val="left" w:pos="851"/>
      </w:tabs>
      <w:snapToGrid w:val="0"/>
      <w:spacing w:before="120" w:after="120"/>
      <w:textAlignment w:val="baseline"/>
      <w:outlineLvl w:val="1"/>
    </w:pPr>
    <w:rPr>
      <w:rFonts w:cs="Times New Roman"/>
      <w:b/>
      <w:bCs/>
      <w:sz w:val="28"/>
      <w:szCs w:val="20"/>
    </w:rPr>
  </w:style>
  <w:style w:type="paragraph" w:customStyle="1" w:styleId="205pt11pt">
    <w:name w:val="スタイル 見出し 2 + 下揃え: (細線 自動  0.5 pt 線幅 文字列との間隔 :  11 pt 罫線と文字列との間隔..."/>
    <w:basedOn w:val="2"/>
    <w:rsid w:val="006C67F7"/>
    <w:pPr>
      <w:pBdr>
        <w:bottom w:val="single" w:sz="4" w:space="8" w:color="auto"/>
      </w:pBdr>
      <w:spacing w:before="40"/>
    </w:pPr>
    <w:rPr>
      <w:rFonts w:eastAsia="ＭＳ ゴシック" w:cs="ＭＳ 明朝"/>
      <w:szCs w:val="28"/>
    </w:rPr>
  </w:style>
  <w:style w:type="paragraph" w:customStyle="1" w:styleId="50mm0mm1">
    <w:name w:val="スタイル 見出し 5 + 左 :  0 mm 最初の行 :  0 mm1"/>
    <w:basedOn w:val="5"/>
    <w:rsid w:val="006C67F7"/>
    <w:pPr>
      <w:numPr>
        <w:numId w:val="4"/>
      </w:numPr>
      <w:autoSpaceDE w:val="0"/>
      <w:autoSpaceDN w:val="0"/>
      <w:adjustRightInd w:val="0"/>
      <w:spacing w:after="80" w:line="320" w:lineRule="exact"/>
      <w:ind w:leftChars="0" w:left="0"/>
      <w:textAlignment w:val="baseline"/>
    </w:pPr>
    <w:rPr>
      <w:rFonts w:cs="ＭＳ 明朝"/>
      <w:b/>
      <w:bCs/>
      <w:kern w:val="0"/>
      <w:sz w:val="22"/>
      <w:szCs w:val="22"/>
      <w:u w:val="single"/>
    </w:rPr>
  </w:style>
  <w:style w:type="paragraph" w:customStyle="1" w:styleId="Style10pt">
    <w:name w:val="Style 10 pt"/>
    <w:basedOn w:val="a0"/>
    <w:rsid w:val="006C67F7"/>
    <w:rPr>
      <w:rFonts w:cs="Times New Roman"/>
      <w:sz w:val="20"/>
      <w:szCs w:val="20"/>
    </w:rPr>
  </w:style>
  <w:style w:type="paragraph" w:styleId="a6">
    <w:name w:val="footer"/>
    <w:basedOn w:val="a0"/>
    <w:rsid w:val="006C67F7"/>
    <w:pPr>
      <w:tabs>
        <w:tab w:val="center" w:pos="4252"/>
        <w:tab w:val="right" w:pos="8504"/>
      </w:tabs>
      <w:snapToGrid w:val="0"/>
      <w:spacing w:line="240" w:lineRule="atLeast"/>
      <w:textAlignment w:val="bottom"/>
    </w:pPr>
    <w:rPr>
      <w:rFonts w:ascii="ＭＳ Ｐ明朝" w:eastAsia="ＭＳ Ｐ明朝" w:hAnsi="Times New Roman" w:cs="Times New Roman"/>
      <w:szCs w:val="24"/>
    </w:rPr>
  </w:style>
  <w:style w:type="paragraph" w:customStyle="1" w:styleId="Normal1">
    <w:name w:val="Normal1"/>
    <w:rsid w:val="006C67F7"/>
    <w:pPr>
      <w:widowControl w:val="0"/>
      <w:adjustRightInd w:val="0"/>
      <w:spacing w:before="100" w:beforeAutospacing="1" w:after="80" w:line="360" w:lineRule="atLeast"/>
      <w:ind w:left="357" w:hanging="357"/>
      <w:jc w:val="both"/>
      <w:textAlignment w:val="baseline"/>
    </w:pPr>
    <w:rPr>
      <w:rFonts w:ascii="ＭＳ 明朝" w:hAnsi="Times"/>
      <w:sz w:val="21"/>
    </w:rPr>
  </w:style>
  <w:style w:type="paragraph" w:styleId="12">
    <w:name w:val="toc 1"/>
    <w:basedOn w:val="a0"/>
    <w:next w:val="a0"/>
    <w:rsid w:val="006C67F7"/>
    <w:pPr>
      <w:spacing w:before="120" w:after="120"/>
    </w:pPr>
    <w:rPr>
      <w:rFonts w:ascii="arial bold" w:eastAsia="ＭＳ Ｐゴシック" w:hAnsi="arial bold" w:cs="Times New Roman"/>
      <w:b/>
      <w:bCs/>
      <w:caps/>
      <w:sz w:val="20"/>
      <w:szCs w:val="24"/>
    </w:rPr>
  </w:style>
  <w:style w:type="paragraph" w:styleId="21">
    <w:name w:val="toc 2"/>
    <w:basedOn w:val="a0"/>
    <w:next w:val="a0"/>
    <w:autoRedefine/>
    <w:rsid w:val="006C67F7"/>
    <w:pPr>
      <w:tabs>
        <w:tab w:val="left" w:pos="644"/>
        <w:tab w:val="right" w:leader="dot" w:pos="9060"/>
      </w:tabs>
      <w:spacing w:before="120" w:after="120"/>
      <w:ind w:left="221"/>
    </w:pPr>
    <w:rPr>
      <w:rFonts w:ascii="Century" w:eastAsia="ＭＳ 明朝" w:hAnsi="Century" w:cs="Times New Roman"/>
      <w:smallCaps/>
      <w:sz w:val="20"/>
      <w:szCs w:val="24"/>
    </w:rPr>
  </w:style>
  <w:style w:type="paragraph" w:styleId="30">
    <w:name w:val="toc 3"/>
    <w:basedOn w:val="a0"/>
    <w:next w:val="a0"/>
    <w:autoRedefine/>
    <w:rsid w:val="006C67F7"/>
    <w:pPr>
      <w:ind w:left="420"/>
    </w:pPr>
    <w:rPr>
      <w:rFonts w:ascii="Century" w:eastAsia="ＭＳ 明朝" w:hAnsi="Century" w:cs="Times New Roman"/>
      <w:i/>
      <w:iCs/>
      <w:sz w:val="20"/>
      <w:szCs w:val="24"/>
    </w:rPr>
  </w:style>
  <w:style w:type="paragraph" w:styleId="40">
    <w:name w:val="toc 4"/>
    <w:basedOn w:val="a0"/>
    <w:next w:val="a0"/>
    <w:autoRedefine/>
    <w:semiHidden/>
    <w:rsid w:val="006C67F7"/>
    <w:pPr>
      <w:ind w:left="630"/>
    </w:pPr>
    <w:rPr>
      <w:rFonts w:ascii="Century" w:eastAsia="ＭＳ 明朝" w:hAnsi="Century" w:cs="Times New Roman"/>
      <w:sz w:val="18"/>
      <w:szCs w:val="21"/>
    </w:rPr>
  </w:style>
  <w:style w:type="paragraph" w:styleId="50">
    <w:name w:val="toc 5"/>
    <w:basedOn w:val="a0"/>
    <w:next w:val="a0"/>
    <w:autoRedefine/>
    <w:semiHidden/>
    <w:rsid w:val="006C67F7"/>
    <w:pPr>
      <w:ind w:left="840"/>
    </w:pPr>
    <w:rPr>
      <w:rFonts w:ascii="Century" w:eastAsia="ＭＳ 明朝" w:hAnsi="Century" w:cs="Times New Roman"/>
      <w:sz w:val="18"/>
      <w:szCs w:val="21"/>
    </w:rPr>
  </w:style>
  <w:style w:type="paragraph" w:styleId="60">
    <w:name w:val="toc 6"/>
    <w:basedOn w:val="a0"/>
    <w:next w:val="a0"/>
    <w:autoRedefine/>
    <w:semiHidden/>
    <w:rsid w:val="006C67F7"/>
    <w:pPr>
      <w:ind w:left="1050"/>
    </w:pPr>
    <w:rPr>
      <w:rFonts w:ascii="Century" w:eastAsia="ＭＳ 明朝" w:hAnsi="Century" w:cs="Times New Roman"/>
      <w:sz w:val="18"/>
      <w:szCs w:val="21"/>
    </w:rPr>
  </w:style>
  <w:style w:type="paragraph" w:styleId="7">
    <w:name w:val="toc 7"/>
    <w:basedOn w:val="a0"/>
    <w:next w:val="a0"/>
    <w:autoRedefine/>
    <w:semiHidden/>
    <w:rsid w:val="006C67F7"/>
    <w:pPr>
      <w:ind w:left="1260"/>
    </w:pPr>
    <w:rPr>
      <w:rFonts w:ascii="Century" w:eastAsia="ＭＳ 明朝" w:hAnsi="Century" w:cs="Times New Roman"/>
      <w:sz w:val="18"/>
      <w:szCs w:val="21"/>
    </w:rPr>
  </w:style>
  <w:style w:type="paragraph" w:styleId="8">
    <w:name w:val="toc 8"/>
    <w:basedOn w:val="a0"/>
    <w:next w:val="a0"/>
    <w:autoRedefine/>
    <w:semiHidden/>
    <w:rsid w:val="006C67F7"/>
    <w:pPr>
      <w:ind w:left="1470"/>
    </w:pPr>
    <w:rPr>
      <w:rFonts w:ascii="Century" w:eastAsia="ＭＳ 明朝" w:hAnsi="Century" w:cs="Times New Roman"/>
      <w:sz w:val="18"/>
      <w:szCs w:val="21"/>
    </w:rPr>
  </w:style>
  <w:style w:type="paragraph" w:styleId="9">
    <w:name w:val="toc 9"/>
    <w:basedOn w:val="a0"/>
    <w:next w:val="a0"/>
    <w:autoRedefine/>
    <w:semiHidden/>
    <w:rsid w:val="006C67F7"/>
    <w:pPr>
      <w:ind w:left="1680"/>
    </w:pPr>
    <w:rPr>
      <w:rFonts w:ascii="Century" w:eastAsia="ＭＳ 明朝" w:hAnsi="Century" w:cs="Times New Roman"/>
      <w:sz w:val="18"/>
      <w:szCs w:val="21"/>
    </w:rPr>
  </w:style>
  <w:style w:type="character" w:styleId="a7">
    <w:name w:val="Hyperlink"/>
    <w:rsid w:val="006C67F7"/>
    <w:rPr>
      <w:rFonts w:cs="Times New Roman"/>
      <w:color w:val="0000FF"/>
      <w:u w:val="single"/>
    </w:rPr>
  </w:style>
  <w:style w:type="paragraph" w:styleId="a8">
    <w:name w:val="header"/>
    <w:basedOn w:val="a0"/>
    <w:rsid w:val="006C67F7"/>
    <w:pPr>
      <w:tabs>
        <w:tab w:val="center" w:pos="4252"/>
        <w:tab w:val="right" w:pos="8504"/>
      </w:tabs>
      <w:snapToGrid w:val="0"/>
    </w:pPr>
    <w:rPr>
      <w:rFonts w:ascii="Century" w:eastAsia="ＭＳ 明朝" w:hAnsi="Century" w:cs="Times New Roman"/>
      <w:szCs w:val="24"/>
    </w:rPr>
  </w:style>
  <w:style w:type="character" w:styleId="a9">
    <w:name w:val="page number"/>
    <w:rsid w:val="006C67F7"/>
    <w:rPr>
      <w:rFonts w:cs="Times New Roman"/>
    </w:rPr>
  </w:style>
  <w:style w:type="paragraph" w:customStyle="1" w:styleId="Arial">
    <w:name w:val="スタイル 入出力文書 + (英数字) Arial (日) ＭＳ ゴシック"/>
    <w:basedOn w:val="a0"/>
    <w:rsid w:val="006C67F7"/>
    <w:pPr>
      <w:adjustRightInd w:val="0"/>
      <w:spacing w:after="80" w:line="280" w:lineRule="exact"/>
      <w:ind w:left="2268" w:hanging="1134"/>
      <w:textAlignment w:val="baseline"/>
    </w:pPr>
    <w:rPr>
      <w:rFonts w:cs="Times New Roman"/>
    </w:rPr>
  </w:style>
  <w:style w:type="table" w:styleId="aa">
    <w:name w:val="Table Grid"/>
    <w:basedOn w:val="a3"/>
    <w:rsid w:val="006C67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6C67F7"/>
    <w:rPr>
      <w:rFonts w:ascii="Arial" w:eastAsia="ＭＳ ゴシック" w:hAnsi="Arial" w:cs="Times New Roman"/>
      <w:kern w:val="2"/>
      <w:sz w:val="18"/>
      <w:szCs w:val="18"/>
    </w:rPr>
  </w:style>
  <w:style w:type="paragraph" w:styleId="ab">
    <w:name w:val="footnote text"/>
    <w:basedOn w:val="a0"/>
    <w:link w:val="ac"/>
    <w:autoRedefine/>
    <w:semiHidden/>
    <w:rsid w:val="006C67F7"/>
    <w:pPr>
      <w:adjustRightInd w:val="0"/>
      <w:spacing w:line="280" w:lineRule="atLeast"/>
      <w:textAlignment w:val="baseline"/>
    </w:pPr>
    <w:rPr>
      <w:rFonts w:eastAsia="ＭＳ Ｐゴシック" w:cs="Times New Roman"/>
      <w:sz w:val="20"/>
      <w:szCs w:val="20"/>
    </w:rPr>
  </w:style>
  <w:style w:type="character" w:customStyle="1" w:styleId="ac">
    <w:name w:val="脚注文字列 (文字)"/>
    <w:link w:val="ab"/>
    <w:semiHidden/>
    <w:locked/>
    <w:rsid w:val="006C67F7"/>
    <w:rPr>
      <w:rFonts w:ascii="Arial" w:eastAsia="ＭＳ Ｐゴシック" w:hAnsi="Arial"/>
      <w:lang w:val="en-US" w:eastAsia="ja-JP" w:bidi="ar-SA"/>
    </w:rPr>
  </w:style>
  <w:style w:type="character" w:styleId="ad">
    <w:name w:val="footnote reference"/>
    <w:semiHidden/>
    <w:rsid w:val="006C67F7"/>
    <w:rPr>
      <w:rFonts w:cs="Times New Roman"/>
      <w:vertAlign w:val="superscript"/>
    </w:rPr>
  </w:style>
  <w:style w:type="paragraph" w:customStyle="1" w:styleId="ae">
    <w:name w:val="スタンダード"/>
    <w:basedOn w:val="a0"/>
    <w:rsid w:val="006C67F7"/>
    <w:pPr>
      <w:adjustRightInd w:val="0"/>
    </w:pPr>
    <w:rPr>
      <w:rFonts w:eastAsia="ＭＳ Ｐゴシック"/>
      <w:szCs w:val="20"/>
    </w:rPr>
  </w:style>
  <w:style w:type="paragraph" w:customStyle="1" w:styleId="a">
    <w:name w:val="箇条書リスト"/>
    <w:basedOn w:val="a0"/>
    <w:link w:val="CharChar"/>
    <w:rsid w:val="006C67F7"/>
    <w:pPr>
      <w:numPr>
        <w:numId w:val="3"/>
      </w:numPr>
      <w:spacing w:line="240" w:lineRule="atLeast"/>
      <w:ind w:firstLine="0"/>
      <w:textAlignment w:val="bottom"/>
    </w:pPr>
    <w:rPr>
      <w:rFonts w:eastAsia="ＭＳ Ｐゴシック" w:cs="Times New Roman"/>
    </w:rPr>
  </w:style>
  <w:style w:type="character" w:customStyle="1" w:styleId="CharChar">
    <w:name w:val="箇条書リスト Char Char"/>
    <w:link w:val="a"/>
    <w:rsid w:val="006C67F7"/>
    <w:rPr>
      <w:rFonts w:ascii="Arial" w:eastAsia="ＭＳ Ｐゴシック" w:hAnsi="Arial"/>
      <w:kern w:val="2"/>
      <w:sz w:val="22"/>
      <w:szCs w:val="22"/>
      <w:lang w:val="en-US" w:eastAsia="ja-JP" w:bidi="ar-SA"/>
    </w:rPr>
  </w:style>
  <w:style w:type="paragraph" w:customStyle="1" w:styleId="105pt16pt">
    <w:name w:val="スタイル 見出し 1 + 太字 下揃え: (細線 自動  0.5 pt 線幅) 行間 :  固定値 16 pt"/>
    <w:basedOn w:val="10"/>
    <w:autoRedefine/>
    <w:rsid w:val="006C67F7"/>
    <w:pPr>
      <w:numPr>
        <w:numId w:val="5"/>
      </w:numPr>
      <w:spacing w:after="120" w:line="320" w:lineRule="exact"/>
    </w:pPr>
    <w:rPr>
      <w:rFonts w:cs="ＭＳ 明朝"/>
      <w:bCs/>
      <w:szCs w:val="20"/>
    </w:rPr>
  </w:style>
  <w:style w:type="paragraph" w:customStyle="1" w:styleId="13">
    <w:name w:val="目次の見出し1"/>
    <w:basedOn w:val="10"/>
    <w:next w:val="a0"/>
    <w:semiHidden/>
    <w:rsid w:val="006C67F7"/>
    <w:pPr>
      <w:keepLines/>
      <w:widowControl/>
      <w:numPr>
        <w:numId w:val="0"/>
      </w:numPr>
      <w:spacing w:before="480" w:line="276" w:lineRule="auto"/>
      <w:jc w:val="left"/>
      <w:outlineLvl w:val="9"/>
    </w:pPr>
    <w:rPr>
      <w:bCs/>
      <w:color w:val="365F91"/>
      <w:kern w:val="0"/>
      <w:szCs w:val="28"/>
    </w:rPr>
  </w:style>
  <w:style w:type="paragraph" w:customStyle="1" w:styleId="14">
    <w:name w:val="リスト段落1"/>
    <w:basedOn w:val="a0"/>
    <w:rsid w:val="006C67F7"/>
    <w:pPr>
      <w:ind w:leftChars="400" w:left="840"/>
    </w:pPr>
    <w:rPr>
      <w:rFonts w:ascii="Century" w:eastAsia="ＭＳ 明朝" w:hAnsi="Century" w:cs="Times New Roman"/>
      <w:szCs w:val="24"/>
    </w:rPr>
  </w:style>
  <w:style w:type="paragraph" w:customStyle="1" w:styleId="Title2">
    <w:name w:val="Title 2"/>
    <w:basedOn w:val="Title1"/>
    <w:next w:val="a0"/>
    <w:rsid w:val="006C67F7"/>
    <w:pPr>
      <w:spacing w:line="240" w:lineRule="auto"/>
    </w:pPr>
    <w:rPr>
      <w:rFonts w:eastAsia="ＭＳ 明朝"/>
      <w:szCs w:val="20"/>
    </w:rPr>
  </w:style>
  <w:style w:type="paragraph" w:customStyle="1" w:styleId="Title4">
    <w:name w:val="Title 4"/>
    <w:basedOn w:val="a0"/>
    <w:next w:val="10"/>
    <w:rsid w:val="006C67F7"/>
    <w:pPr>
      <w:widowControl/>
      <w:tabs>
        <w:tab w:val="left" w:pos="567"/>
        <w:tab w:val="left" w:pos="1134"/>
        <w:tab w:val="left" w:pos="1701"/>
        <w:tab w:val="left" w:pos="2268"/>
        <w:tab w:val="left" w:pos="2835"/>
      </w:tabs>
      <w:overflowPunct w:val="0"/>
      <w:adjustRightInd w:val="0"/>
      <w:spacing w:before="240"/>
      <w:jc w:val="center"/>
      <w:textAlignment w:val="baseline"/>
    </w:pPr>
    <w:rPr>
      <w:rFonts w:ascii="Times New Roman" w:eastAsia="ＭＳ 明朝" w:hAnsi="Times New Roman" w:cs="Times New Roman"/>
      <w:b/>
      <w:sz w:val="28"/>
      <w:szCs w:val="20"/>
      <w:lang w:val="en-GB" w:eastAsia="en-US"/>
    </w:rPr>
  </w:style>
  <w:style w:type="paragraph" w:customStyle="1" w:styleId="15">
    <w:name w:val="本文1"/>
    <w:basedOn w:val="a0"/>
    <w:rsid w:val="006C67F7"/>
    <w:pPr>
      <w:ind w:firstLineChars="95" w:firstLine="209"/>
    </w:pPr>
    <w:rPr>
      <w:rFonts w:cs="Times New Roman"/>
      <w:szCs w:val="20"/>
    </w:rPr>
  </w:style>
  <w:style w:type="paragraph" w:customStyle="1" w:styleId="16">
    <w:name w:val="標準1"/>
    <w:link w:val="1Char"/>
    <w:rsid w:val="006C67F7"/>
    <w:pPr>
      <w:widowControl w:val="0"/>
      <w:adjustRightInd w:val="0"/>
      <w:spacing w:line="360" w:lineRule="atLeast"/>
      <w:jc w:val="both"/>
      <w:textAlignment w:val="baseline"/>
    </w:pPr>
    <w:rPr>
      <w:rFonts w:ascii="ＭＳ 明朝" w:hAnsi="Times"/>
      <w:sz w:val="21"/>
    </w:rPr>
  </w:style>
  <w:style w:type="paragraph" w:styleId="Web">
    <w:name w:val="Normal (Web)"/>
    <w:basedOn w:val="a0"/>
    <w:rsid w:val="006C67F7"/>
    <w:pPr>
      <w:widowControl/>
      <w:spacing w:before="100" w:beforeAutospacing="1"/>
    </w:pPr>
    <w:rPr>
      <w:rFonts w:ascii="Arial Unicode MS" w:eastAsia="Times New Roman" w:hAnsi="Arial Unicode MS" w:cs="ＭＳ 明朝"/>
      <w:color w:val="000000"/>
      <w:sz w:val="24"/>
      <w:szCs w:val="24"/>
    </w:rPr>
  </w:style>
  <w:style w:type="paragraph" w:customStyle="1" w:styleId="Note">
    <w:name w:val="Note"/>
    <w:basedOn w:val="a0"/>
    <w:rsid w:val="006C67F7"/>
    <w:pPr>
      <w:widowControl/>
      <w:tabs>
        <w:tab w:val="left" w:pos="794"/>
        <w:tab w:val="left" w:pos="1191"/>
        <w:tab w:val="left" w:pos="1588"/>
        <w:tab w:val="left" w:pos="1985"/>
      </w:tabs>
      <w:overflowPunct w:val="0"/>
      <w:adjustRightInd w:val="0"/>
      <w:spacing w:before="80"/>
      <w:textAlignment w:val="baseline"/>
    </w:pPr>
    <w:rPr>
      <w:rFonts w:ascii="Times New Roman" w:eastAsia="ＭＳ 明朝" w:hAnsi="Times New Roman" w:cs="Times New Roman"/>
      <w:szCs w:val="20"/>
      <w:lang w:val="en-GB" w:eastAsia="en-US"/>
    </w:rPr>
  </w:style>
  <w:style w:type="paragraph" w:customStyle="1" w:styleId="af">
    <w:name w:val="入出力文書"/>
    <w:basedOn w:val="a1"/>
    <w:rsid w:val="006C67F7"/>
    <w:pPr>
      <w:ind w:left="2268" w:hanging="1134"/>
    </w:pPr>
    <w:rPr>
      <w:szCs w:val="22"/>
    </w:rPr>
  </w:style>
  <w:style w:type="paragraph" w:styleId="af0">
    <w:name w:val="Date"/>
    <w:basedOn w:val="a0"/>
    <w:next w:val="a0"/>
    <w:rsid w:val="006C67F7"/>
    <w:rPr>
      <w:rFonts w:ascii="Century" w:eastAsia="ＭＳ 明朝" w:hAnsi="Century" w:cs="Times New Roman"/>
      <w:szCs w:val="24"/>
    </w:rPr>
  </w:style>
  <w:style w:type="paragraph" w:styleId="af1">
    <w:name w:val="Balloon Text"/>
    <w:basedOn w:val="a0"/>
    <w:link w:val="af2"/>
    <w:rsid w:val="006C67F7"/>
    <w:rPr>
      <w:rFonts w:cs="Times New Roman"/>
      <w:sz w:val="18"/>
      <w:szCs w:val="18"/>
    </w:rPr>
  </w:style>
  <w:style w:type="character" w:customStyle="1" w:styleId="af2">
    <w:name w:val="吹き出し (文字)"/>
    <w:link w:val="af1"/>
    <w:locked/>
    <w:rsid w:val="006C67F7"/>
    <w:rPr>
      <w:rFonts w:ascii="Arial" w:eastAsia="ＭＳ ゴシック" w:hAnsi="Arial"/>
      <w:kern w:val="2"/>
      <w:sz w:val="18"/>
      <w:szCs w:val="18"/>
      <w:lang w:val="en-US" w:eastAsia="ja-JP" w:bidi="ar-SA"/>
    </w:rPr>
  </w:style>
  <w:style w:type="paragraph" w:customStyle="1" w:styleId="af3">
    <w:name w:val="説明文"/>
    <w:basedOn w:val="a0"/>
    <w:rsid w:val="006C67F7"/>
    <w:pPr>
      <w:adjustRightInd w:val="0"/>
      <w:spacing w:before="120" w:line="320" w:lineRule="atLeast"/>
      <w:textAlignment w:val="baseline"/>
    </w:pPr>
    <w:rPr>
      <w:rFonts w:ascii="Times New Roman" w:eastAsia="ＭＳ Ｐゴシック" w:hAnsi="Times New Roman" w:cs="Times New Roman"/>
      <w:sz w:val="24"/>
      <w:szCs w:val="20"/>
    </w:rPr>
  </w:style>
  <w:style w:type="paragraph" w:customStyle="1" w:styleId="Char1">
    <w:name w:val="Char1 (文字) (文字)"/>
    <w:basedOn w:val="a0"/>
    <w:rsid w:val="006C67F7"/>
    <w:pPr>
      <w:widowControl/>
      <w:tabs>
        <w:tab w:val="left" w:pos="540"/>
        <w:tab w:val="left" w:pos="1260"/>
        <w:tab w:val="left" w:pos="1800"/>
      </w:tabs>
      <w:spacing w:before="240" w:after="160" w:line="240" w:lineRule="exact"/>
    </w:pPr>
    <w:rPr>
      <w:rFonts w:ascii="Verdana" w:eastAsia="SimSun" w:hAnsi="Verdana" w:cs="Verdana"/>
      <w:sz w:val="24"/>
      <w:szCs w:val="24"/>
      <w:lang w:eastAsia="en-US"/>
    </w:rPr>
  </w:style>
  <w:style w:type="paragraph" w:customStyle="1" w:styleId="Char1CharChar1Char">
    <w:name w:val="Char1 Char Char1 Char"/>
    <w:basedOn w:val="a0"/>
    <w:rsid w:val="006C67F7"/>
    <w:pPr>
      <w:widowControl/>
      <w:tabs>
        <w:tab w:val="left" w:pos="540"/>
        <w:tab w:val="left" w:pos="1260"/>
        <w:tab w:val="left" w:pos="1800"/>
      </w:tabs>
      <w:spacing w:before="240" w:after="160" w:line="240" w:lineRule="exact"/>
    </w:pPr>
    <w:rPr>
      <w:rFonts w:ascii="Verdana" w:eastAsia="ＭＳ 明朝" w:hAnsi="Verdana" w:cs="Times New Roman"/>
      <w:sz w:val="24"/>
      <w:szCs w:val="20"/>
      <w:lang w:eastAsia="en-US"/>
    </w:rPr>
  </w:style>
  <w:style w:type="paragraph" w:customStyle="1" w:styleId="AnnexNoTitle">
    <w:name w:val="Annex_NoTitle"/>
    <w:basedOn w:val="a0"/>
    <w:next w:val="a0"/>
    <w:link w:val="AnnexNoTitleChar"/>
    <w:rsid w:val="006C67F7"/>
    <w:pPr>
      <w:keepNext/>
      <w:keepLines/>
      <w:widowControl/>
      <w:tabs>
        <w:tab w:val="left" w:pos="794"/>
        <w:tab w:val="left" w:pos="1191"/>
        <w:tab w:val="left" w:pos="1588"/>
        <w:tab w:val="left" w:pos="1985"/>
      </w:tabs>
      <w:overflowPunct w:val="0"/>
      <w:adjustRightInd w:val="0"/>
      <w:spacing w:before="480"/>
      <w:jc w:val="center"/>
      <w:textAlignment w:val="baseline"/>
    </w:pPr>
    <w:rPr>
      <w:rFonts w:ascii="Times New Roman" w:eastAsia="SimSun" w:hAnsi="Times New Roman" w:cs="Times New Roman"/>
      <w:b/>
      <w:sz w:val="28"/>
      <w:szCs w:val="20"/>
      <w:lang w:val="en-GB" w:eastAsia="en-US"/>
    </w:rPr>
  </w:style>
  <w:style w:type="character" w:customStyle="1" w:styleId="AnnexNoTitleChar">
    <w:name w:val="Annex_NoTitle Char"/>
    <w:link w:val="AnnexNoTitle"/>
    <w:locked/>
    <w:rsid w:val="006C67F7"/>
    <w:rPr>
      <w:rFonts w:eastAsia="SimSun"/>
      <w:b/>
      <w:sz w:val="28"/>
      <w:lang w:val="en-GB" w:eastAsia="en-US" w:bidi="ar-SA"/>
    </w:rPr>
  </w:style>
  <w:style w:type="paragraph" w:customStyle="1" w:styleId="Arttitle">
    <w:name w:val="Art_title"/>
    <w:basedOn w:val="a0"/>
    <w:next w:val="a0"/>
    <w:rsid w:val="006C67F7"/>
    <w:pPr>
      <w:keepNext/>
      <w:keepLines/>
      <w:widowControl/>
      <w:tabs>
        <w:tab w:val="left" w:pos="794"/>
        <w:tab w:val="left" w:pos="1191"/>
        <w:tab w:val="left" w:pos="1588"/>
        <w:tab w:val="left" w:pos="1985"/>
      </w:tabs>
      <w:overflowPunct w:val="0"/>
      <w:adjustRightInd w:val="0"/>
      <w:spacing w:before="240"/>
      <w:jc w:val="center"/>
      <w:textAlignment w:val="baseline"/>
    </w:pPr>
    <w:rPr>
      <w:rFonts w:ascii="Times New Roman" w:eastAsia="ＭＳ 明朝" w:hAnsi="Times New Roman" w:cs="Times New Roman"/>
      <w:b/>
      <w:sz w:val="28"/>
      <w:szCs w:val="20"/>
      <w:lang w:val="en-GB" w:eastAsia="en-US"/>
    </w:rPr>
  </w:style>
  <w:style w:type="paragraph" w:customStyle="1" w:styleId="Rec">
    <w:name w:val="Rec_#"/>
    <w:basedOn w:val="a0"/>
    <w:next w:val="a0"/>
    <w:rsid w:val="006C67F7"/>
    <w:pPr>
      <w:keepNext/>
      <w:keepLines/>
      <w:widowControl/>
      <w:tabs>
        <w:tab w:val="left" w:pos="794"/>
        <w:tab w:val="left" w:pos="1191"/>
        <w:tab w:val="left" w:pos="1588"/>
        <w:tab w:val="left" w:pos="1985"/>
      </w:tabs>
      <w:spacing w:before="480"/>
      <w:jc w:val="center"/>
    </w:pPr>
    <w:rPr>
      <w:rFonts w:ascii="Times New Roman" w:eastAsia="ＭＳ 明朝" w:hAnsi="Times New Roman" w:cs="Times New Roman"/>
      <w:caps/>
      <w:sz w:val="24"/>
      <w:szCs w:val="20"/>
      <w:lang w:val="en-GB"/>
    </w:rPr>
  </w:style>
  <w:style w:type="character" w:styleId="af4">
    <w:name w:val="Strong"/>
    <w:qFormat/>
    <w:rsid w:val="006C67F7"/>
    <w:rPr>
      <w:rFonts w:cs="Times New Roman"/>
      <w:b/>
      <w:bCs/>
    </w:rPr>
  </w:style>
  <w:style w:type="character" w:styleId="af5">
    <w:name w:val="annotation reference"/>
    <w:rsid w:val="006C67F7"/>
    <w:rPr>
      <w:rFonts w:cs="Times New Roman"/>
      <w:sz w:val="18"/>
      <w:szCs w:val="18"/>
    </w:rPr>
  </w:style>
  <w:style w:type="paragraph" w:styleId="af6">
    <w:name w:val="annotation text"/>
    <w:basedOn w:val="a0"/>
    <w:link w:val="af7"/>
    <w:rsid w:val="006C67F7"/>
    <w:rPr>
      <w:rFonts w:ascii="Century" w:eastAsia="ＭＳ 明朝" w:hAnsi="Century" w:cs="Times New Roman"/>
      <w:szCs w:val="24"/>
    </w:rPr>
  </w:style>
  <w:style w:type="character" w:customStyle="1" w:styleId="af7">
    <w:name w:val="コメント文字列 (文字)"/>
    <w:link w:val="af6"/>
    <w:locked/>
    <w:rsid w:val="006C67F7"/>
    <w:rPr>
      <w:rFonts w:ascii="Century" w:eastAsia="ＭＳ 明朝" w:hAnsi="Century"/>
      <w:kern w:val="2"/>
      <w:sz w:val="21"/>
      <w:szCs w:val="24"/>
      <w:lang w:val="en-US" w:eastAsia="ja-JP" w:bidi="ar-SA"/>
    </w:rPr>
  </w:style>
  <w:style w:type="paragraph" w:styleId="af8">
    <w:name w:val="caption"/>
    <w:basedOn w:val="a0"/>
    <w:next w:val="a0"/>
    <w:qFormat/>
    <w:rsid w:val="006C67F7"/>
    <w:pPr>
      <w:jc w:val="center"/>
    </w:pPr>
    <w:rPr>
      <w:rFonts w:ascii="arial bold" w:eastAsia="ＭＳ Ｐゴシック" w:hAnsi="arial bold" w:cs="Times New Roman"/>
      <w:b/>
      <w:bCs/>
      <w:sz w:val="20"/>
      <w:szCs w:val="20"/>
    </w:rPr>
  </w:style>
  <w:style w:type="numbering" w:customStyle="1" w:styleId="11">
    <w:name w:val="スタイル1"/>
    <w:rsid w:val="006C67F7"/>
    <w:pPr>
      <w:numPr>
        <w:numId w:val="9"/>
      </w:numPr>
    </w:pPr>
  </w:style>
  <w:style w:type="paragraph" w:customStyle="1" w:styleId="1">
    <w:name w:val="箇条書き1"/>
    <w:basedOn w:val="a0"/>
    <w:rsid w:val="006C67F7"/>
    <w:pPr>
      <w:numPr>
        <w:numId w:val="11"/>
      </w:numPr>
      <w:ind w:left="432" w:hanging="418"/>
    </w:pPr>
    <w:rPr>
      <w:rFonts w:eastAsia="ＭＳ Ｐゴシック"/>
    </w:rPr>
  </w:style>
  <w:style w:type="character" w:customStyle="1" w:styleId="1Char">
    <w:name w:val="標準1 Char"/>
    <w:link w:val="16"/>
    <w:rsid w:val="006C67F7"/>
    <w:rPr>
      <w:rFonts w:ascii="ＭＳ 明朝" w:hAnsi="Times"/>
      <w:sz w:val="21"/>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R/index.asp?category=publications&amp;rlink=rec-approval&amp;lang=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2784</Words>
  <Characters>15870</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18617</CharactersWithSpaces>
  <SharedDoc>false</SharedDoc>
  <HLinks>
    <vt:vector size="6" baseType="variant">
      <vt:variant>
        <vt:i4>3538989</vt:i4>
      </vt:variant>
      <vt:variant>
        <vt:i4>0</vt:i4>
      </vt:variant>
      <vt:variant>
        <vt:i4>0</vt:i4>
      </vt:variant>
      <vt:variant>
        <vt:i4>5</vt:i4>
      </vt:variant>
      <vt:variant>
        <vt:lpwstr>http://www.itu.int/ITU-R/index.asp?category=publications&amp;rlink=rec-approval&amp;lang=en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2012-06-05T13:22:00Z</dcterms:created>
  <dcterms:modified xsi:type="dcterms:W3CDTF">2012-06-05T13:26:00Z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