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C8" w:rsidRDefault="006A78C8">
      <w:pPr>
        <w:jc w:val="center"/>
        <w:rPr>
          <w:rFonts w:ascii="ＭＳ ゴシック"/>
        </w:rPr>
      </w:pPr>
      <w:bookmarkStart w:id="0" w:name="_GoBack"/>
      <w:bookmarkEnd w:id="0"/>
      <w:r>
        <w:rPr>
          <w:rFonts w:ascii="ＭＳ ゴシック" w:hint="eastAsia"/>
        </w:rPr>
        <w:t>規制の設定又は改廃に係る意見提出手続</w:t>
      </w:r>
    </w:p>
    <w:p w:rsidR="006A78C8" w:rsidRDefault="006A78C8">
      <w:pPr>
        <w:rPr>
          <w:rFonts w:ascii="ＭＳ ゴシック"/>
        </w:rPr>
      </w:pPr>
      <w:r>
        <w:rPr>
          <w:rFonts w:ascii="ＭＳ ゴシック" w:hint="eastAsia"/>
        </w:rPr>
        <w:t xml:space="preserve">　　　　　　　　　　　　　　　　　　　　　　　　　　　　　　　平成11年３月23日閣議決定</w:t>
      </w:r>
    </w:p>
    <w:p w:rsidR="006A78C8" w:rsidRDefault="006A78C8">
      <w:pPr>
        <w:rPr>
          <w:rFonts w:ascii="ＭＳ ゴシック"/>
        </w:rPr>
      </w:pPr>
      <w:r>
        <w:rPr>
          <w:rFonts w:ascii="ＭＳ ゴシック" w:hint="eastAsia"/>
        </w:rPr>
        <w:t xml:space="preserve">　　　　　　　　　　　　　　　　　　　　　　　　　　　　　　　平成12年12月26日一部改正</w:t>
      </w:r>
    </w:p>
    <w:p w:rsidR="006A78C8" w:rsidRDefault="006A78C8">
      <w:pPr>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1620"/>
        </w:trPr>
        <w:tc>
          <w:tcPr>
            <w:tcW w:w="10395" w:type="dxa"/>
          </w:tcPr>
          <w:p w:rsidR="006A78C8" w:rsidRDefault="006A78C8">
            <w:pPr>
              <w:rPr>
                <w:rFonts w:ascii="ＭＳ ゴシック"/>
              </w:rPr>
            </w:pPr>
            <w:r>
              <w:rPr>
                <w:rFonts w:ascii="ＭＳ ゴシック" w:hint="eastAsia"/>
              </w:rPr>
              <w:t xml:space="preserve">　規制の設定又は改廃に伴い政令・省令等を策定する過程において、国民等の多様な意見・情報・専門的知識を行政機関が把握するとともに、その過程の公正の確保と透明性の向上を図ることが必要である。このような観点から、規制の設定又は改廃に当たり、意思決定過程において広く国民等に対し案等を公表し、それに対して提出された意見・情報を考慮して意思決定を行う意見提出手続（いわゆるパブリック・コメント手続）を、以下のとおり定める。</w:t>
            </w:r>
          </w:p>
        </w:tc>
      </w:tr>
    </w:tbl>
    <w:p w:rsidR="006A78C8" w:rsidRDefault="006A78C8">
      <w:pPr>
        <w:spacing w:line="360" w:lineRule="auto"/>
        <w:rPr>
          <w:rFonts w:ascii="ＭＳ ゴシック"/>
        </w:rPr>
      </w:pPr>
      <w:r>
        <w:rPr>
          <w:rFonts w:ascii="ＭＳ ゴシック" w:hint="eastAsia"/>
        </w:rPr>
        <w:t>（考え方）(1)　「国民等」の「等」は、内外の事業者等を示すものである。</w:t>
      </w:r>
    </w:p>
    <w:p w:rsidR="006A78C8" w:rsidRDefault="006A78C8">
      <w:pPr>
        <w:ind w:left="313"/>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690"/>
        </w:trPr>
        <w:tc>
          <w:tcPr>
            <w:tcW w:w="10395" w:type="dxa"/>
          </w:tcPr>
          <w:p w:rsidR="006A78C8" w:rsidRDefault="006A78C8">
            <w:pPr>
              <w:ind w:left="-96"/>
              <w:rPr>
                <w:rFonts w:ascii="ＭＳ ゴシック"/>
              </w:rPr>
            </w:pPr>
            <w:r>
              <w:rPr>
                <w:rFonts w:ascii="ＭＳ ゴシック" w:hint="eastAsia"/>
              </w:rPr>
              <w:t>１　対象</w:t>
            </w:r>
          </w:p>
          <w:p w:rsidR="006A78C8" w:rsidRDefault="006A78C8">
            <w:pPr>
              <w:ind w:left="250"/>
              <w:rPr>
                <w:rFonts w:ascii="ＭＳ ゴシック"/>
              </w:rPr>
            </w:pPr>
            <w:r>
              <w:rPr>
                <w:rFonts w:ascii="ＭＳ ゴシック" w:hint="eastAsia"/>
              </w:rPr>
              <w:t xml:space="preserve">　広く一般に適用される国の行政機関等の意思表示で、規制の設定又は改廃に係るものは、本手続を経て策定する。</w:t>
            </w:r>
          </w:p>
          <w:p w:rsidR="006A78C8" w:rsidRDefault="006A78C8">
            <w:pPr>
              <w:ind w:left="217"/>
              <w:rPr>
                <w:rFonts w:ascii="ＭＳ ゴシック"/>
              </w:rPr>
            </w:pPr>
            <w:r>
              <w:rPr>
                <w:rFonts w:ascii="ＭＳ ゴシック" w:hint="eastAsia"/>
              </w:rPr>
              <w:t xml:space="preserve">　なお、迅速性・緊急性を要するもの、軽微なもの等については本手続によらないことができる。</w:t>
            </w:r>
          </w:p>
        </w:tc>
      </w:tr>
    </w:tbl>
    <w:p w:rsidR="006A78C8" w:rsidRDefault="006A78C8">
      <w:pPr>
        <w:ind w:left="1386" w:hanging="1416"/>
        <w:rPr>
          <w:rFonts w:ascii="ＭＳ ゴシック"/>
        </w:rPr>
      </w:pPr>
      <w:r>
        <w:rPr>
          <w:rFonts w:ascii="ＭＳ ゴシック" w:hint="eastAsia"/>
        </w:rPr>
        <w:t>（考え方）(1)　具体的な案件が、本手続の対象であるか否かは、意思表示を行う行政機関</w:t>
      </w:r>
      <w:r>
        <w:rPr>
          <w:rFonts w:hint="eastAsia"/>
        </w:rPr>
        <w:t>（政令については、その事務を所掌する行政機関）</w:t>
      </w:r>
      <w:r>
        <w:rPr>
          <w:rFonts w:ascii="ＭＳ ゴシック" w:hint="eastAsia"/>
        </w:rPr>
        <w:t>が、本手続</w:t>
      </w:r>
      <w:r>
        <w:rPr>
          <w:rFonts w:hint="eastAsia"/>
        </w:rPr>
        <w:t>の趣旨に基づいて</w:t>
      </w:r>
      <w:r>
        <w:rPr>
          <w:rFonts w:ascii="ＭＳ ゴシック" w:hint="eastAsia"/>
        </w:rPr>
        <w:t>判断し、また、その判断の説明責任を負う。</w:t>
      </w:r>
    </w:p>
    <w:p w:rsidR="006A78C8" w:rsidRDefault="006A78C8">
      <w:pPr>
        <w:ind w:left="1386" w:hanging="241"/>
        <w:rPr>
          <w:rFonts w:ascii="ＭＳ ゴシック"/>
        </w:rPr>
      </w:pPr>
      <w:r>
        <w:rPr>
          <w:rFonts w:ascii="ＭＳ ゴシック" w:hint="eastAsia"/>
        </w:rPr>
        <w:t>(2)　本手続を経て策定されるべき意思表示は、政令、府令、省令、告示等である。「等」には、行政手続法上の審査基準・処分基準・複数の者を対象とする行政指導に共通して内容となるべき事項を含む。（ただし、公にしない審査基準等は除く。）</w:t>
      </w:r>
    </w:p>
    <w:p w:rsidR="006A78C8" w:rsidRDefault="006A78C8">
      <w:pPr>
        <w:ind w:left="1386" w:hanging="241"/>
        <w:rPr>
          <w:rFonts w:ascii="ＭＳ ゴシック"/>
        </w:rPr>
      </w:pPr>
      <w:r>
        <w:rPr>
          <w:rFonts w:ascii="ＭＳ ゴシック" w:hint="eastAsia"/>
        </w:rPr>
        <w:t>(3)　「広く一般に適用される」とは、</w:t>
      </w:r>
      <w:r>
        <w:rPr>
          <w:rFonts w:hint="eastAsia"/>
        </w:rPr>
        <w:t>特定の者を名あて人としないこと等を意味する。したがって、</w:t>
      </w:r>
      <w:r>
        <w:rPr>
          <w:rFonts w:ascii="ＭＳ ゴシック" w:hint="eastAsia"/>
        </w:rPr>
        <w:t>個別具体的な処分・計画は本手続の対象ではない。</w:t>
      </w:r>
    </w:p>
    <w:p w:rsidR="006A78C8" w:rsidRDefault="006A78C8">
      <w:pPr>
        <w:ind w:left="1386" w:hanging="241"/>
      </w:pPr>
      <w:r>
        <w:rPr>
          <w:rFonts w:ascii="ＭＳ ゴシック" w:hint="eastAsia"/>
        </w:rPr>
        <w:t>(4)</w:t>
      </w:r>
      <w:r>
        <w:rPr>
          <w:rFonts w:hint="eastAsia"/>
        </w:rPr>
        <w:t xml:space="preserve">　条約その他の外交文書（以下「条約等」という。）並びにその作成及び実施に関連して行われる外国政府、国際機関等に対する意思表示は、本手続の対象ではない</w:t>
      </w:r>
    </w:p>
    <w:p w:rsidR="006A78C8" w:rsidRDefault="006A78C8">
      <w:pPr>
        <w:ind w:left="1386" w:hanging="241"/>
        <w:rPr>
          <w:rFonts w:ascii="ＭＳ ゴシック"/>
        </w:rPr>
      </w:pPr>
      <w:r>
        <w:rPr>
          <w:rFonts w:ascii="ＭＳ ゴシック" w:hint="eastAsia"/>
        </w:rPr>
        <w:t>(5)　本手続で「国の行政機関等」とは、内閣又は府、省、委員会、庁若しくはこれらに置かれる機関若しくは部局等をいう。したがって、国の行政機関等の意思表示ではない法律・条例・地方公共団体における規則は、本手続の対象ではない。</w:t>
      </w:r>
    </w:p>
    <w:p w:rsidR="006A78C8" w:rsidRDefault="006A78C8">
      <w:pPr>
        <w:ind w:left="1386" w:hanging="241"/>
        <w:rPr>
          <w:rFonts w:ascii="ＭＳ ゴシック"/>
        </w:rPr>
      </w:pPr>
      <w:r>
        <w:rPr>
          <w:rFonts w:ascii="ＭＳ ゴシック" w:hint="eastAsia"/>
        </w:rPr>
        <w:t>(6)　懇談会等行政運営上の会合は行政機関ではないので、その意見は本手続の対象ではない。</w:t>
      </w:r>
    </w:p>
    <w:p w:rsidR="006A78C8" w:rsidRDefault="006A78C8">
      <w:pPr>
        <w:ind w:left="1386" w:hanging="241"/>
        <w:rPr>
          <w:rFonts w:ascii="ＭＳ ゴシック"/>
        </w:rPr>
      </w:pPr>
      <w:r>
        <w:rPr>
          <w:rFonts w:ascii="ＭＳ ゴシック" w:hint="eastAsia"/>
        </w:rPr>
        <w:t>(7)　特殊法人、認可法人、民法上の法人等が、法令により付与された処分権限に係る審査基準及び処分基準を定める場合についても、本手続に準じた手続を経るよう、その規制の根拠となる法令を所管する行政機関が指導する。</w:t>
      </w:r>
    </w:p>
    <w:p w:rsidR="006A78C8" w:rsidRDefault="006A78C8">
      <w:pPr>
        <w:ind w:left="1386" w:hanging="241"/>
        <w:rPr>
          <w:rFonts w:ascii="ＭＳ ゴシック"/>
        </w:rPr>
      </w:pPr>
      <w:r>
        <w:rPr>
          <w:rFonts w:ascii="ＭＳ ゴシック" w:hint="eastAsia"/>
        </w:rPr>
        <w:t>(8)　本手続は、行政内で完結して広く一般に適用される意思表示を対象としているため、国会において審議を経る法律案は、本手続の対象ではない。</w:t>
      </w:r>
    </w:p>
    <w:p w:rsidR="006A78C8" w:rsidRDefault="006A78C8">
      <w:pPr>
        <w:ind w:left="1386" w:hanging="241"/>
        <w:rPr>
          <w:rFonts w:ascii="ＭＳ ゴシック"/>
        </w:rPr>
      </w:pPr>
      <w:r>
        <w:rPr>
          <w:rFonts w:ascii="ＭＳ ゴシック" w:hint="eastAsia"/>
        </w:rPr>
        <w:t>(9)　「規制の設定又は改廃に係るもの」について、本手続を経て策定することとしているので、①白書のような事実認識や現状分析、②組織令・定員令のように行政内部のみに適用されるもの、③補助金要綱、年金の給付のような行政サービスに係るもの、④施行期日政</w:t>
      </w:r>
      <w:r>
        <w:rPr>
          <w:rFonts w:ascii="ＭＳ ゴシック" w:hint="eastAsia"/>
        </w:rPr>
        <w:lastRenderedPageBreak/>
        <w:t>令のような事務的なものは、本手続の対象とはならない。</w:t>
      </w:r>
    </w:p>
    <w:p w:rsidR="006A78C8" w:rsidRDefault="006A78C8">
      <w:pPr>
        <w:ind w:left="1386" w:hanging="241"/>
        <w:rPr>
          <w:rFonts w:ascii="ＭＳ ゴシック"/>
        </w:rPr>
      </w:pPr>
      <w:r>
        <w:rPr>
          <w:rFonts w:ascii="ＭＳ ゴシック" w:hint="eastAsia"/>
        </w:rPr>
        <w:t>(10)　具体的な案件が、「規制の設定又は改廃に係る」ものであるか否かは、規制緩和白書（1998年8月総務庁）第６章に示されている「規制」の概念を踏まえて、判断されるものとする。</w:t>
      </w:r>
    </w:p>
    <w:p w:rsidR="006A78C8" w:rsidRDefault="006A78C8">
      <w:pPr>
        <w:ind w:left="1386" w:hanging="241"/>
        <w:rPr>
          <w:rFonts w:ascii="ＭＳ ゴシック"/>
        </w:rPr>
      </w:pPr>
      <w:r>
        <w:rPr>
          <w:rFonts w:ascii="ＭＳ ゴシック" w:hint="eastAsia"/>
        </w:rPr>
        <w:t>(11)　「迅速性・緊急性を要するもの、軽微なもの等」の「等」には、条約等に基づく規制の設定又は改廃について、条約等にその内容が詳細に規定されている場合のように、行政機関の裁量の余地がないものを含む。</w:t>
      </w:r>
    </w:p>
    <w:p w:rsidR="006A78C8" w:rsidRDefault="006A78C8">
      <w:pPr>
        <w:ind w:left="1386" w:hanging="241"/>
        <w:rPr>
          <w:rFonts w:ascii="ＭＳ ゴシック"/>
        </w:rPr>
      </w:pPr>
      <w:r>
        <w:rPr>
          <w:rFonts w:ascii="ＭＳ ゴシック" w:hint="eastAsia"/>
        </w:rPr>
        <w:t>(12)　本手続を経て策定されるべき意思表示について、公聴会付議や事前の告示等の手続が法令で定められている場合、当該法令にのっとった手続をとることとなるが、本手続が定められた趣旨にかんがみ、その運用において可能な限り本手続に沿うよう努める。</w:t>
      </w:r>
    </w:p>
    <w:p w:rsidR="006A78C8" w:rsidRDefault="006A78C8">
      <w:pPr>
        <w:ind w:left="250"/>
        <w:rPr>
          <w:rFonts w:ascii="ＭＳ ゴシック"/>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71"/>
      </w:tblGrid>
      <w:tr w:rsidR="006A78C8">
        <w:trPr>
          <w:trHeight w:val="1875"/>
        </w:trPr>
        <w:tc>
          <w:tcPr>
            <w:tcW w:w="10371" w:type="dxa"/>
          </w:tcPr>
          <w:p w:rsidR="006A78C8" w:rsidRDefault="006A78C8">
            <w:pPr>
              <w:ind w:left="-111"/>
              <w:rPr>
                <w:rFonts w:ascii="ＭＳ ゴシック"/>
              </w:rPr>
            </w:pPr>
            <w:r>
              <w:rPr>
                <w:rFonts w:ascii="ＭＳ ゴシック" w:hint="eastAsia"/>
              </w:rPr>
              <w:t>２　意見提出の手続</w:t>
            </w:r>
          </w:p>
          <w:p w:rsidR="006A78C8" w:rsidRDefault="006A78C8">
            <w:pPr>
              <w:ind w:left="129"/>
              <w:rPr>
                <w:rFonts w:ascii="ＭＳ ゴシック"/>
              </w:rPr>
            </w:pPr>
            <w:r>
              <w:rPr>
                <w:rFonts w:ascii="ＭＳ ゴシック" w:hint="eastAsia"/>
              </w:rPr>
              <w:t>(</w:t>
            </w:r>
            <w:r>
              <w:rPr>
                <w:rFonts w:ascii="ＭＳ ゴシック"/>
              </w:rPr>
              <w:t>1)</w:t>
            </w:r>
            <w:r>
              <w:rPr>
                <w:rFonts w:ascii="ＭＳ ゴシック" w:hint="eastAsia"/>
              </w:rPr>
              <w:t xml:space="preserve">　公表主体・公表時期</w:t>
            </w:r>
          </w:p>
          <w:p w:rsidR="006A78C8" w:rsidRDefault="006A78C8">
            <w:pPr>
              <w:ind w:left="442"/>
              <w:rPr>
                <w:rFonts w:ascii="ＭＳ ゴシック"/>
              </w:rPr>
            </w:pPr>
            <w:r>
              <w:rPr>
                <w:rFonts w:ascii="ＭＳ ゴシック" w:hint="eastAsia"/>
              </w:rPr>
              <w:t xml:space="preserve">　本手続を経て策定する意思表示を行う行政機関は、最終的な意思決定を行う前に、その案等を公表する。</w:t>
            </w:r>
          </w:p>
          <w:p w:rsidR="006A78C8" w:rsidRDefault="006A78C8">
            <w:pPr>
              <w:ind w:left="430"/>
              <w:rPr>
                <w:rFonts w:ascii="ＭＳ ゴシック"/>
              </w:rPr>
            </w:pPr>
            <w:r>
              <w:rPr>
                <w:rFonts w:ascii="ＭＳ ゴシック" w:hint="eastAsia"/>
              </w:rPr>
              <w:t xml:space="preserve">　また、内閣の意思表示である政令については、その事務を所掌する行政機関が案等を公表する。</w:t>
            </w:r>
          </w:p>
        </w:tc>
      </w:tr>
    </w:tbl>
    <w:p w:rsidR="006A78C8" w:rsidRDefault="006A78C8">
      <w:pPr>
        <w:ind w:left="1386" w:hanging="1386"/>
        <w:rPr>
          <w:rFonts w:ascii="ＭＳ ゴシック"/>
        </w:rPr>
      </w:pPr>
      <w:r>
        <w:rPr>
          <w:rFonts w:ascii="ＭＳ ゴシック" w:hint="eastAsia"/>
        </w:rPr>
        <w:t>（考え方）(1)　公表される「案等」は、意思表示の案そのものに限らず、その内容を明確に示すもので差し支えない。また、事案に応じ、いくつかの代替案を同時に示すことが有効であるときは、そのような方法でも差し支えない。</w:t>
      </w:r>
    </w:p>
    <w:p w:rsidR="006A78C8" w:rsidRDefault="006A78C8">
      <w:pPr>
        <w:ind w:left="1386" w:hanging="1386"/>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1950"/>
        </w:trPr>
        <w:tc>
          <w:tcPr>
            <w:tcW w:w="10395" w:type="dxa"/>
          </w:tcPr>
          <w:p w:rsidR="006A78C8" w:rsidRDefault="006A78C8">
            <w:pPr>
              <w:ind w:left="169"/>
              <w:rPr>
                <w:rFonts w:ascii="ＭＳ ゴシック"/>
              </w:rPr>
            </w:pPr>
            <w:r>
              <w:rPr>
                <w:rFonts w:ascii="ＭＳ ゴシック" w:hint="eastAsia"/>
              </w:rPr>
              <w:t>(</w:t>
            </w:r>
            <w:r>
              <w:rPr>
                <w:rFonts w:ascii="ＭＳ ゴシック"/>
              </w:rPr>
              <w:t>2)</w:t>
            </w:r>
            <w:r>
              <w:rPr>
                <w:rFonts w:ascii="ＭＳ ゴシック" w:hint="eastAsia"/>
              </w:rPr>
              <w:t xml:space="preserve">　公表資料</w:t>
            </w:r>
          </w:p>
          <w:p w:rsidR="006A78C8" w:rsidRDefault="006A78C8">
            <w:pPr>
              <w:ind w:left="482"/>
              <w:rPr>
                <w:rFonts w:ascii="ＭＳ ゴシック"/>
              </w:rPr>
            </w:pPr>
            <w:r>
              <w:rPr>
                <w:rFonts w:ascii="ＭＳ ゴシック" w:hint="eastAsia"/>
              </w:rPr>
              <w:t xml:space="preserve">　行政機関は、一般の理解に資するため、案等の本体に加えて、可能な限り次に掲げた資料を公表する。</w:t>
            </w:r>
          </w:p>
          <w:p w:rsidR="006A78C8" w:rsidRDefault="006A78C8">
            <w:pPr>
              <w:ind w:left="482"/>
              <w:rPr>
                <w:rFonts w:ascii="ＭＳ ゴシック"/>
              </w:rPr>
            </w:pPr>
            <w:r>
              <w:rPr>
                <w:rFonts w:ascii="ＭＳ ゴシック" w:hint="eastAsia"/>
              </w:rPr>
              <w:t>①　当該案等を作成した趣旨・目的・背景</w:t>
            </w:r>
          </w:p>
          <w:p w:rsidR="006A78C8" w:rsidRDefault="006A78C8">
            <w:pPr>
              <w:ind w:left="825" w:hanging="343"/>
              <w:rPr>
                <w:rFonts w:ascii="ＭＳ ゴシック"/>
              </w:rPr>
            </w:pPr>
            <w:r>
              <w:rPr>
                <w:rFonts w:ascii="ＭＳ ゴシック" w:hint="eastAsia"/>
              </w:rPr>
              <w:t>②　当該案等に関連する資料（根拠法令、当該規制の設定又は改廃によって生じると思われる影響の程度・範囲等）</w:t>
            </w:r>
          </w:p>
          <w:p w:rsidR="006A78C8" w:rsidRDefault="006A78C8">
            <w:pPr>
              <w:ind w:left="482"/>
              <w:rPr>
                <w:rFonts w:ascii="ＭＳ ゴシック"/>
              </w:rPr>
            </w:pPr>
            <w:r>
              <w:rPr>
                <w:rFonts w:ascii="ＭＳ ゴシック" w:hint="eastAsia"/>
              </w:rPr>
              <w:t>③　当該案等の位置付け</w:t>
            </w:r>
          </w:p>
        </w:tc>
      </w:tr>
    </w:tbl>
    <w:p w:rsidR="006A78C8" w:rsidRDefault="006A78C8">
      <w:pPr>
        <w:ind w:left="1386" w:hanging="1386"/>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345"/>
        </w:trPr>
        <w:tc>
          <w:tcPr>
            <w:tcW w:w="10395" w:type="dxa"/>
          </w:tcPr>
          <w:p w:rsidR="006A78C8" w:rsidRDefault="006A78C8">
            <w:pPr>
              <w:ind w:left="124"/>
              <w:rPr>
                <w:rFonts w:ascii="ＭＳ ゴシック"/>
              </w:rPr>
            </w:pPr>
            <w:r>
              <w:rPr>
                <w:rFonts w:ascii="ＭＳ ゴシック" w:hint="eastAsia"/>
              </w:rPr>
              <w:t>(</w:t>
            </w:r>
            <w:r>
              <w:rPr>
                <w:rFonts w:ascii="ＭＳ ゴシック"/>
              </w:rPr>
              <w:t>3)</w:t>
            </w:r>
            <w:r>
              <w:rPr>
                <w:rFonts w:ascii="ＭＳ ゴシック" w:hint="eastAsia"/>
              </w:rPr>
              <w:t xml:space="preserve">　公表方法</w:t>
            </w:r>
          </w:p>
          <w:p w:rsidR="006A78C8" w:rsidRDefault="006A78C8">
            <w:pPr>
              <w:ind w:left="437"/>
              <w:rPr>
                <w:rFonts w:ascii="ＭＳ ゴシック"/>
              </w:rPr>
            </w:pPr>
            <w:r>
              <w:rPr>
                <w:rFonts w:ascii="ＭＳ ゴシック" w:hint="eastAsia"/>
              </w:rPr>
              <w:t xml:space="preserve">　行政機関は、次のような公表方法を活用し、積極的に周知を図る。</w:t>
            </w:r>
          </w:p>
          <w:p w:rsidR="006A78C8" w:rsidRDefault="006A78C8">
            <w:pPr>
              <w:ind w:left="437"/>
              <w:rPr>
                <w:rFonts w:ascii="ＭＳ ゴシック"/>
              </w:rPr>
            </w:pPr>
            <w:r>
              <w:rPr>
                <w:rFonts w:ascii="ＭＳ ゴシック" w:hint="eastAsia"/>
              </w:rPr>
              <w:t>①　ホームページへの掲載</w:t>
            </w:r>
          </w:p>
          <w:p w:rsidR="006A78C8" w:rsidRDefault="006A78C8">
            <w:pPr>
              <w:ind w:left="437"/>
              <w:rPr>
                <w:rFonts w:ascii="ＭＳ ゴシック"/>
              </w:rPr>
            </w:pPr>
            <w:r>
              <w:rPr>
                <w:rFonts w:ascii="ＭＳ ゴシック" w:hint="eastAsia"/>
              </w:rPr>
              <w:t>②　窓口での配付</w:t>
            </w:r>
          </w:p>
          <w:p w:rsidR="006A78C8" w:rsidRDefault="006A78C8">
            <w:pPr>
              <w:ind w:left="437"/>
              <w:rPr>
                <w:rFonts w:ascii="ＭＳ ゴシック"/>
              </w:rPr>
            </w:pPr>
            <w:r>
              <w:rPr>
                <w:rFonts w:ascii="ＭＳ ゴシック" w:hint="eastAsia"/>
              </w:rPr>
              <w:t>③　新聞・雑誌等による広報</w:t>
            </w:r>
          </w:p>
          <w:p w:rsidR="006A78C8" w:rsidRDefault="006A78C8">
            <w:pPr>
              <w:ind w:left="437"/>
              <w:rPr>
                <w:rFonts w:ascii="ＭＳ ゴシック"/>
              </w:rPr>
            </w:pPr>
            <w:r>
              <w:rPr>
                <w:rFonts w:ascii="ＭＳ ゴシック" w:hint="eastAsia"/>
              </w:rPr>
              <w:t>④　広報誌掲載</w:t>
            </w:r>
          </w:p>
          <w:p w:rsidR="006A78C8" w:rsidRDefault="006A78C8">
            <w:pPr>
              <w:ind w:left="437"/>
              <w:rPr>
                <w:rFonts w:ascii="ＭＳ ゴシック"/>
              </w:rPr>
            </w:pPr>
            <w:r>
              <w:rPr>
                <w:rFonts w:ascii="ＭＳ ゴシック" w:hint="eastAsia"/>
              </w:rPr>
              <w:t>⑤　官報掲載</w:t>
            </w:r>
          </w:p>
          <w:p w:rsidR="006A78C8" w:rsidRDefault="006A78C8">
            <w:pPr>
              <w:ind w:left="437"/>
              <w:rPr>
                <w:rFonts w:ascii="ＭＳ ゴシック"/>
              </w:rPr>
            </w:pPr>
            <w:r>
              <w:rPr>
                <w:rFonts w:ascii="ＭＳ ゴシック" w:hint="eastAsia"/>
              </w:rPr>
              <w:t>⑥　報道発表</w:t>
            </w:r>
          </w:p>
          <w:p w:rsidR="006A78C8" w:rsidRDefault="006A78C8">
            <w:pPr>
              <w:ind w:left="437"/>
              <w:rPr>
                <w:rFonts w:ascii="ＭＳ ゴシック"/>
              </w:rPr>
            </w:pPr>
            <w:r>
              <w:rPr>
                <w:rFonts w:ascii="ＭＳ ゴシック" w:hint="eastAsia"/>
              </w:rPr>
              <w:t xml:space="preserve">　なお、複数の方法を活用する場合であって、公表する内容が相当量に及ぶ場合には、案等の概要と公表資料全体の入手方法等を明確にしておけば、活用する公表方法の全てにおいては、公表資料全体を公表する必要はない。</w:t>
            </w:r>
          </w:p>
          <w:p w:rsidR="006A78C8" w:rsidRDefault="006A78C8">
            <w:pPr>
              <w:rPr>
                <w:rFonts w:ascii="ＭＳ ゴシック"/>
              </w:rPr>
            </w:pPr>
            <w:r>
              <w:rPr>
                <w:rFonts w:ascii="ＭＳ ゴシック" w:hint="eastAsia"/>
              </w:rPr>
              <w:t xml:space="preserve">　　　また、専門家、利害関係人には、必要に応じ、適宜周知に努める。</w:t>
            </w:r>
          </w:p>
        </w:tc>
      </w:tr>
    </w:tbl>
    <w:p w:rsidR="006A78C8" w:rsidRDefault="006A78C8">
      <w:pPr>
        <w:ind w:left="1386" w:hanging="1386"/>
        <w:rPr>
          <w:rFonts w:ascii="ＭＳ ゴシック"/>
        </w:rPr>
      </w:pPr>
      <w:r>
        <w:rPr>
          <w:rFonts w:ascii="ＭＳ ゴシック" w:hint="eastAsia"/>
        </w:rPr>
        <w:lastRenderedPageBreak/>
        <w:t>（考え方）(1)　公表資料については、関心を持つ一般の国民が入手できるようにする必要があり、公表資料自体がさまざまな方法によって広く周知されることが望ましい。</w:t>
      </w:r>
    </w:p>
    <w:p w:rsidR="006A78C8" w:rsidRDefault="006A78C8">
      <w:pPr>
        <w:ind w:left="1386" w:hanging="1386"/>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965"/>
        </w:trPr>
        <w:tc>
          <w:tcPr>
            <w:tcW w:w="10395" w:type="dxa"/>
          </w:tcPr>
          <w:p w:rsidR="006A78C8" w:rsidRDefault="006A78C8">
            <w:pPr>
              <w:ind w:left="124"/>
              <w:rPr>
                <w:rFonts w:ascii="ＭＳ ゴシック"/>
              </w:rPr>
            </w:pPr>
            <w:r>
              <w:rPr>
                <w:rFonts w:ascii="ＭＳ ゴシック" w:hint="eastAsia"/>
              </w:rPr>
              <w:t>(</w:t>
            </w:r>
            <w:r>
              <w:rPr>
                <w:rFonts w:ascii="ＭＳ ゴシック"/>
              </w:rPr>
              <w:t>4)</w:t>
            </w:r>
            <w:r>
              <w:rPr>
                <w:rFonts w:ascii="ＭＳ ゴシック" w:hint="eastAsia"/>
              </w:rPr>
              <w:t xml:space="preserve">　意見・情報の募集期間</w:t>
            </w:r>
          </w:p>
          <w:p w:rsidR="006A78C8" w:rsidRDefault="006A78C8">
            <w:pPr>
              <w:ind w:left="364"/>
              <w:rPr>
                <w:rFonts w:ascii="ＭＳ ゴシック"/>
              </w:rPr>
            </w:pPr>
            <w:r>
              <w:rPr>
                <w:rFonts w:ascii="ＭＳ ゴシック" w:hint="eastAsia"/>
              </w:rPr>
              <w:t xml:space="preserve">　意見・情報の募集期間については、意見・情報の提出に必要と判断される時間等を勘案し、１か月程度を一つの目安として、案等の公表時に明示する。</w:t>
            </w:r>
          </w:p>
        </w:tc>
      </w:tr>
    </w:tbl>
    <w:p w:rsidR="006A78C8" w:rsidRDefault="006A78C8">
      <w:pPr>
        <w:ind w:left="1386" w:hanging="1425"/>
        <w:rPr>
          <w:rFonts w:ascii="ＭＳ ゴシック"/>
        </w:rPr>
      </w:pPr>
      <w:r>
        <w:rPr>
          <w:rFonts w:ascii="ＭＳ ゴシック" w:hint="eastAsia"/>
        </w:rPr>
        <w:t>（考え方）(1)　「１か月程度」という期間は、これまでの実績を基にした目安であって、案件に応じて、適宜定めるべきである。</w:t>
      </w:r>
    </w:p>
    <w:p w:rsidR="006A78C8" w:rsidRDefault="006A78C8">
      <w:pPr>
        <w:ind w:left="432"/>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1680"/>
        </w:trPr>
        <w:tc>
          <w:tcPr>
            <w:tcW w:w="10395" w:type="dxa"/>
          </w:tcPr>
          <w:p w:rsidR="006A78C8" w:rsidRDefault="006A78C8">
            <w:pPr>
              <w:ind w:left="184"/>
              <w:rPr>
                <w:rFonts w:ascii="ＭＳ ゴシック"/>
              </w:rPr>
            </w:pPr>
            <w:r>
              <w:rPr>
                <w:rFonts w:ascii="ＭＳ ゴシック" w:hint="eastAsia"/>
              </w:rPr>
              <w:t>(</w:t>
            </w:r>
            <w:r>
              <w:rPr>
                <w:rFonts w:ascii="ＭＳ ゴシック"/>
              </w:rPr>
              <w:t>5)</w:t>
            </w:r>
            <w:r>
              <w:rPr>
                <w:rFonts w:ascii="ＭＳ ゴシック" w:hint="eastAsia"/>
              </w:rPr>
              <w:t xml:space="preserve">　意見・情報の提出方法</w:t>
            </w:r>
          </w:p>
          <w:p w:rsidR="006A78C8" w:rsidRDefault="006A78C8">
            <w:pPr>
              <w:ind w:left="497"/>
              <w:rPr>
                <w:rFonts w:ascii="ＭＳ ゴシック"/>
              </w:rPr>
            </w:pPr>
            <w:r>
              <w:rPr>
                <w:rFonts w:hint="eastAsia"/>
              </w:rPr>
              <w:t xml:space="preserve">　意見・情報の提出方法として、郵便、ファクシミリ、電子メール等の手段を案等の公表時に明示する。</w:t>
            </w:r>
          </w:p>
          <w:p w:rsidR="006A78C8" w:rsidRDefault="006A78C8">
            <w:pPr>
              <w:ind w:left="497"/>
              <w:rPr>
                <w:rFonts w:ascii="ＭＳ ゴシック"/>
              </w:rPr>
            </w:pPr>
            <w:r>
              <w:rPr>
                <w:rFonts w:hint="eastAsia"/>
              </w:rPr>
              <w:t xml:space="preserve">　また、公聴会の開催により意見・情報を聴取することもできるが、書面での意見・情報の提出の申し出があった場合は、これを受け付けなければならない。なお、公聴会の開催、書面での意見・情報の提出の申し出に関する手続を案等の公表時に明示する。</w:t>
            </w:r>
          </w:p>
        </w:tc>
      </w:tr>
    </w:tbl>
    <w:p w:rsidR="006A78C8" w:rsidRDefault="006A78C8">
      <w:pPr>
        <w:ind w:left="49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930"/>
        </w:trPr>
        <w:tc>
          <w:tcPr>
            <w:tcW w:w="10395" w:type="dxa"/>
          </w:tcPr>
          <w:p w:rsidR="006A78C8" w:rsidRDefault="006A78C8">
            <w:pPr>
              <w:ind w:left="112"/>
              <w:rPr>
                <w:rFonts w:ascii="ＭＳ ゴシック"/>
              </w:rPr>
            </w:pPr>
            <w:r>
              <w:rPr>
                <w:rFonts w:ascii="ＭＳ ゴシック" w:hint="eastAsia"/>
              </w:rPr>
              <w:t>(</w:t>
            </w:r>
            <w:r>
              <w:rPr>
                <w:rFonts w:ascii="ＭＳ ゴシック"/>
              </w:rPr>
              <w:t>6)</w:t>
            </w:r>
            <w:r>
              <w:rPr>
                <w:rFonts w:ascii="ＭＳ ゴシック" w:hint="eastAsia"/>
              </w:rPr>
              <w:t xml:space="preserve">　意見・情報の処理</w:t>
            </w:r>
          </w:p>
          <w:p w:rsidR="006A78C8" w:rsidRDefault="006A78C8">
            <w:pPr>
              <w:ind w:left="497"/>
            </w:pPr>
            <w:r>
              <w:rPr>
                <w:rFonts w:ascii="ＭＳ ゴシック" w:hint="eastAsia"/>
              </w:rPr>
              <w:t xml:space="preserve">　</w:t>
            </w:r>
            <w:r>
              <w:rPr>
                <w:rFonts w:hint="eastAsia"/>
              </w:rPr>
              <w:t>案等を公表した行政機関は、提出された意見・情報を考慮して意思決定を行うとともに、これに対する当該行政機関の考え方を取りまとめ、提出された意見・情報と併せて公表する。</w:t>
            </w:r>
          </w:p>
        </w:tc>
      </w:tr>
    </w:tbl>
    <w:p w:rsidR="006A78C8" w:rsidRDefault="006A78C8">
      <w:pPr>
        <w:ind w:left="1386" w:hanging="1425"/>
        <w:rPr>
          <w:rFonts w:ascii="ＭＳ ゴシック"/>
        </w:rPr>
      </w:pPr>
      <w:r>
        <w:rPr>
          <w:rFonts w:ascii="ＭＳ ゴシック" w:hint="eastAsia"/>
        </w:rPr>
        <w:t>（考え方）(1)　公表は、原則として意思表示の時点までに行う。なお、意思表示の時点において、公表された案等からの修正点を明らかにする。</w:t>
      </w:r>
    </w:p>
    <w:p w:rsidR="006A78C8" w:rsidRDefault="006A78C8">
      <w:pPr>
        <w:ind w:left="1386" w:hanging="250"/>
      </w:pPr>
      <w:r>
        <w:rPr>
          <w:rFonts w:ascii="ＭＳ ゴシック" w:hint="eastAsia"/>
        </w:rPr>
        <w:t>(2)　「意見・情報」及びこれに対する行政機関の考え方は、適宜整理して公表しても差し支えない。なお、その場合、提出された意見・情報については、文書閲覧窓口における閲覧等の方法により、一定期間公にしておく。</w:t>
      </w:r>
      <w:r>
        <w:rPr>
          <w:rFonts w:hint="eastAsia"/>
        </w:rPr>
        <w:t>ただし、提出された意見・情報で、公にすることにより、個人又は法人の権利、競争上の地位その他正当な利益を害するおそれがあるものについては、行政機関の</w:t>
      </w:r>
      <w:r>
        <w:rPr>
          <w:rFonts w:ascii="ＭＳ ゴシック" w:hint="eastAsia"/>
        </w:rPr>
        <w:t>判断</w:t>
      </w:r>
      <w:r>
        <w:rPr>
          <w:rFonts w:hint="eastAsia"/>
        </w:rPr>
        <w:t>により、その全部又は一部を公にしないことができる。</w:t>
      </w:r>
    </w:p>
    <w:p w:rsidR="006A78C8" w:rsidRDefault="006A78C8">
      <w:pPr>
        <w:ind w:left="1386" w:hanging="250"/>
        <w:rPr>
          <w:rFonts w:ascii="ＭＳ ゴシック"/>
        </w:rPr>
      </w:pPr>
      <w:r>
        <w:rPr>
          <w:rFonts w:ascii="ＭＳ ゴシック" w:hint="eastAsia"/>
        </w:rPr>
        <w:t xml:space="preserve">(3)　</w:t>
      </w:r>
      <w:r>
        <w:rPr>
          <w:rFonts w:hint="eastAsia"/>
        </w:rPr>
        <w:t>意見・情報を提出した個人又は法人の氏名・名称その他の属性に関する情報を公表又は公にすることは、案等の公表に際して、これらを公表又は公にすることが予定されていることを明示している場合に限る。</w:t>
      </w:r>
    </w:p>
    <w:p w:rsidR="006A78C8" w:rsidRDefault="006A78C8">
      <w:pPr>
        <w:ind w:left="1386" w:hanging="250"/>
        <w:rPr>
          <w:rFonts w:ascii="ＭＳ ゴシック"/>
        </w:rPr>
      </w:pPr>
      <w:r>
        <w:rPr>
          <w:rFonts w:ascii="ＭＳ ゴシック" w:hint="eastAsia"/>
        </w:rPr>
        <w:t>(4)　公聴会による場合は、表明された意見を、行政機関において文書化する必要がある。</w:t>
      </w:r>
    </w:p>
    <w:p w:rsidR="006A78C8" w:rsidRDefault="006A78C8">
      <w:pPr>
        <w:ind w:left="1136"/>
      </w:pPr>
      <w:r>
        <w:rPr>
          <w:rFonts w:ascii="ＭＳ ゴシック" w:hint="eastAsia"/>
        </w:rPr>
        <w:t xml:space="preserve">(5) </w:t>
      </w:r>
      <w:r>
        <w:rPr>
          <w:rFonts w:hint="eastAsia"/>
        </w:rPr>
        <w:t>公表方法については、案等の公表方法に準じる。</w:t>
      </w:r>
    </w:p>
    <w:p w:rsidR="006A78C8" w:rsidRDefault="006A78C8">
      <w:pPr>
        <w:ind w:left="113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1545"/>
        </w:trPr>
        <w:tc>
          <w:tcPr>
            <w:tcW w:w="10395" w:type="dxa"/>
          </w:tcPr>
          <w:p w:rsidR="006A78C8" w:rsidRDefault="006A78C8">
            <w:pPr>
              <w:ind w:left="-36"/>
              <w:rPr>
                <w:rFonts w:ascii="ＭＳ ゴシック"/>
              </w:rPr>
            </w:pPr>
            <w:r>
              <w:rPr>
                <w:rFonts w:ascii="ＭＳ ゴシック" w:hint="eastAsia"/>
              </w:rPr>
              <w:t>３　その他</w:t>
            </w:r>
          </w:p>
          <w:p w:rsidR="006A78C8" w:rsidRDefault="006A78C8">
            <w:pPr>
              <w:ind w:left="204"/>
              <w:rPr>
                <w:rFonts w:ascii="ＭＳ ゴシック"/>
              </w:rPr>
            </w:pPr>
            <w:r>
              <w:rPr>
                <w:rFonts w:ascii="ＭＳ ゴシック" w:hint="eastAsia"/>
              </w:rPr>
              <w:t>(</w:t>
            </w:r>
            <w:r>
              <w:rPr>
                <w:rFonts w:ascii="ＭＳ ゴシック"/>
              </w:rPr>
              <w:t>1)</w:t>
            </w:r>
            <w:r>
              <w:rPr>
                <w:rFonts w:ascii="ＭＳ ゴシック" w:hint="eastAsia"/>
              </w:rPr>
              <w:t xml:space="preserve">　意思決定過程の特例</w:t>
            </w:r>
          </w:p>
          <w:p w:rsidR="006A78C8" w:rsidRDefault="006A78C8">
            <w:pPr>
              <w:pStyle w:val="a3"/>
              <w:ind w:left="591" w:firstLine="0"/>
              <w:jc w:val="both"/>
              <w:rPr>
                <w:rFonts w:ascii="ＭＳ ゴシック"/>
              </w:rPr>
            </w:pPr>
            <w:r>
              <w:rPr>
                <w:rFonts w:ascii="ＭＳ ゴシック" w:hint="eastAsia"/>
              </w:rPr>
              <w:t xml:space="preserve">　本手続を経て策定されるべき意思表示であっても、その策定過程において、意思表示を行う機関以外の国の行政機関等が本手続に準じた手続を経て意思決定を行い、それを受けて、それと実質的に同じ内容の意思表示を行う場合には、改めて本手続を経る必要はない。</w:t>
            </w:r>
          </w:p>
        </w:tc>
      </w:tr>
    </w:tbl>
    <w:p w:rsidR="006A78C8" w:rsidRDefault="006A78C8">
      <w:pPr>
        <w:pStyle w:val="a3"/>
        <w:ind w:left="1386" w:hanging="1386"/>
        <w:jc w:val="both"/>
      </w:pPr>
      <w:r>
        <w:rPr>
          <w:rFonts w:hint="eastAsia"/>
        </w:rPr>
        <w:t>（考え方）</w:t>
      </w:r>
      <w:r>
        <w:rPr>
          <w:rFonts w:ascii="ＭＳ ゴシック" w:hint="eastAsia"/>
        </w:rPr>
        <w:t>(</w:t>
      </w:r>
      <w:r>
        <w:rPr>
          <w:rFonts w:ascii="ＭＳ ゴシック"/>
        </w:rPr>
        <w:t>1)</w:t>
      </w:r>
      <w:r>
        <w:rPr>
          <w:rFonts w:hint="eastAsia"/>
        </w:rPr>
        <w:t xml:space="preserve">　国の行政機関等が意思決定を行うに当たっては、意思表示を行う機関以外の国の行政機関等の意思決定を受けて行われる場合も少なくない。このような場合において、意思表示を行う機関以外の国の行政機関等により本手続に準じて案等を公表し、提出された意見・</w:t>
      </w:r>
      <w:r>
        <w:rPr>
          <w:rFonts w:hint="eastAsia"/>
        </w:rPr>
        <w:lastRenderedPageBreak/>
        <w:t>情報を考慮して意思決定が行われれば、これを受けて意思表示を行う国の行政機関等は、実質的に同じ内容である限りは、改めて本手続を経る必要はない。このような事例としては、次のようなものがある。</w:t>
      </w:r>
    </w:p>
    <w:p w:rsidR="006A78C8" w:rsidRDefault="006A78C8">
      <w:pPr>
        <w:ind w:left="1801" w:hanging="395"/>
        <w:rPr>
          <w:rFonts w:ascii="ＭＳ ゴシック"/>
        </w:rPr>
      </w:pPr>
      <w:r>
        <w:rPr>
          <w:rFonts w:ascii="ＭＳ ゴシック" w:hint="eastAsia"/>
        </w:rPr>
        <w:t>①　審議会等が本手続に準じた手続を経て定めた答申を受けて、政令を定める場合や、各省大臣が省令、告示等を定める場合</w:t>
      </w:r>
    </w:p>
    <w:p w:rsidR="006A78C8" w:rsidRDefault="006A78C8">
      <w:pPr>
        <w:ind w:left="1801" w:hanging="395"/>
        <w:rPr>
          <w:rFonts w:ascii="ＭＳ ゴシック"/>
        </w:rPr>
      </w:pPr>
      <w:r>
        <w:rPr>
          <w:rFonts w:ascii="ＭＳ ゴシック" w:hint="eastAsia"/>
        </w:rPr>
        <w:t>②　各省大臣が本手続に準じた手続を経て定めた通達を受けて、地方支分部局の長が審査基準を定める場合</w:t>
      </w:r>
    </w:p>
    <w:p w:rsidR="006A78C8" w:rsidRDefault="006A78C8">
      <w:pPr>
        <w:ind w:left="1561" w:hanging="395"/>
        <w:rPr>
          <w:rFonts w:ascii="ＭＳ ゴシック"/>
        </w:rPr>
      </w:pPr>
      <w:r>
        <w:rPr>
          <w:rFonts w:ascii="ＭＳ ゴシック" w:hint="eastAsia"/>
        </w:rPr>
        <w:t>(2)　意思表示を行う機関以外の国の行政機関等が案等を公表した場合には、当該行政機関等が、提出された意見・情報に対する考え方を取りまとめる。</w:t>
      </w:r>
    </w:p>
    <w:p w:rsidR="006A78C8" w:rsidRDefault="006A78C8">
      <w:pPr>
        <w:pStyle w:val="a3"/>
        <w:ind w:left="480" w:firstLine="0"/>
        <w:jc w:val="both"/>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990"/>
        </w:trPr>
        <w:tc>
          <w:tcPr>
            <w:tcW w:w="10395" w:type="dxa"/>
          </w:tcPr>
          <w:p w:rsidR="006A78C8" w:rsidRDefault="006A78C8">
            <w:pPr>
              <w:ind w:left="199"/>
              <w:rPr>
                <w:rFonts w:ascii="ＭＳ ゴシック"/>
              </w:rPr>
            </w:pPr>
            <w:r>
              <w:rPr>
                <w:rFonts w:ascii="ＭＳ ゴシック" w:hint="eastAsia"/>
              </w:rPr>
              <w:t>(</w:t>
            </w:r>
            <w:r>
              <w:rPr>
                <w:rFonts w:ascii="ＭＳ ゴシック"/>
              </w:rPr>
              <w:t>2)</w:t>
            </w:r>
            <w:r>
              <w:rPr>
                <w:rFonts w:ascii="ＭＳ ゴシック" w:hint="eastAsia"/>
              </w:rPr>
              <w:t xml:space="preserve">　一覧の作成</w:t>
            </w:r>
          </w:p>
          <w:p w:rsidR="006A78C8" w:rsidRDefault="006A78C8">
            <w:pPr>
              <w:ind w:left="502"/>
              <w:rPr>
                <w:rFonts w:ascii="ＭＳ ゴシック"/>
              </w:rPr>
            </w:pPr>
            <w:r>
              <w:rPr>
                <w:rFonts w:ascii="ＭＳ ゴシック" w:hint="eastAsia"/>
              </w:rPr>
              <w:t xml:space="preserve">　各省庁は、本手続を行っている案件の一覧を作成し、ホームページに掲載するとともに、文書閲覧窓口に備えつける。</w:t>
            </w:r>
          </w:p>
        </w:tc>
      </w:tr>
    </w:tbl>
    <w:p w:rsidR="006A78C8" w:rsidRDefault="006A78C8">
      <w:pPr>
        <w:ind w:left="141" w:hanging="150"/>
        <w:rPr>
          <w:rFonts w:ascii="ＭＳ ゴシック"/>
        </w:rPr>
      </w:pPr>
      <w:r>
        <w:rPr>
          <w:rFonts w:ascii="ＭＳ ゴシック" w:hint="eastAsia"/>
          <w:sz w:val="22"/>
        </w:rPr>
        <w:t>（</w:t>
      </w:r>
      <w:r>
        <w:rPr>
          <w:rFonts w:ascii="ＭＳ ゴシック" w:hint="eastAsia"/>
        </w:rPr>
        <w:t>考え方）(1)　案件の一覧には、少なくとも次の事項を掲げる。</w:t>
      </w:r>
    </w:p>
    <w:p w:rsidR="006A78C8" w:rsidRDefault="006A78C8">
      <w:pPr>
        <w:ind w:left="1395"/>
        <w:rPr>
          <w:rFonts w:ascii="ＭＳ ゴシック"/>
        </w:rPr>
      </w:pPr>
      <w:r>
        <w:rPr>
          <w:rFonts w:ascii="ＭＳ ゴシック" w:hint="eastAsia"/>
        </w:rPr>
        <w:t>①　案件名</w:t>
      </w:r>
    </w:p>
    <w:p w:rsidR="006A78C8" w:rsidRDefault="006A78C8">
      <w:pPr>
        <w:ind w:left="1395"/>
        <w:rPr>
          <w:rFonts w:ascii="ＭＳ ゴシック"/>
        </w:rPr>
      </w:pPr>
      <w:r>
        <w:rPr>
          <w:rFonts w:ascii="ＭＳ ゴシック" w:hint="eastAsia"/>
        </w:rPr>
        <w:t>②　公表日、意見・情報締切日</w:t>
      </w:r>
    </w:p>
    <w:p w:rsidR="006A78C8" w:rsidRDefault="006A78C8">
      <w:pPr>
        <w:ind w:left="1395"/>
        <w:rPr>
          <w:rFonts w:ascii="ＭＳ ゴシック"/>
        </w:rPr>
      </w:pPr>
      <w:r>
        <w:rPr>
          <w:rFonts w:ascii="ＭＳ ゴシック" w:hint="eastAsia"/>
        </w:rPr>
        <w:t>③　公表資料の入手方法</w:t>
      </w:r>
    </w:p>
    <w:p w:rsidR="006A78C8" w:rsidRDefault="006A78C8">
      <w:pPr>
        <w:ind w:left="1395"/>
        <w:rPr>
          <w:rFonts w:ascii="ＭＳ ゴシック"/>
        </w:rPr>
      </w:pPr>
      <w:r>
        <w:rPr>
          <w:rFonts w:ascii="ＭＳ ゴシック" w:hint="eastAsia"/>
        </w:rPr>
        <w:t>④　問い合わせ先</w:t>
      </w:r>
    </w:p>
    <w:p w:rsidR="006A78C8" w:rsidRDefault="006A78C8">
      <w:pPr>
        <w:ind w:left="480"/>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600"/>
        </w:trPr>
        <w:tc>
          <w:tcPr>
            <w:tcW w:w="10395" w:type="dxa"/>
          </w:tcPr>
          <w:p w:rsidR="006A78C8" w:rsidRDefault="006A78C8">
            <w:pPr>
              <w:ind w:left="109"/>
              <w:rPr>
                <w:rFonts w:ascii="ＭＳ ゴシック"/>
              </w:rPr>
            </w:pPr>
            <w:r>
              <w:rPr>
                <w:rFonts w:ascii="ＭＳ ゴシック" w:hint="eastAsia"/>
              </w:rPr>
              <w:t>(</w:t>
            </w:r>
            <w:r>
              <w:rPr>
                <w:rFonts w:ascii="ＭＳ ゴシック"/>
              </w:rPr>
              <w:t>3)</w:t>
            </w:r>
            <w:r>
              <w:rPr>
                <w:rFonts w:ascii="ＭＳ ゴシック" w:hint="eastAsia"/>
              </w:rPr>
              <w:t xml:space="preserve">　実態の把握</w:t>
            </w:r>
          </w:p>
          <w:p w:rsidR="006A78C8" w:rsidRDefault="006A78C8">
            <w:pPr>
              <w:ind w:left="480"/>
              <w:rPr>
                <w:rFonts w:ascii="ＭＳ ゴシック"/>
              </w:rPr>
            </w:pPr>
            <w:r>
              <w:rPr>
                <w:rFonts w:ascii="ＭＳ ゴシック" w:hint="eastAsia"/>
              </w:rPr>
              <w:t xml:space="preserve">　各省庁は、各省庁における規制の設定又は改廃に係る意見提出手続の実施状況を、当分の間総務省に報告する。</w:t>
            </w:r>
          </w:p>
          <w:p w:rsidR="006A78C8" w:rsidRDefault="006A78C8">
            <w:pPr>
              <w:ind w:left="480"/>
              <w:rPr>
                <w:rFonts w:ascii="ＭＳ ゴシック"/>
              </w:rPr>
            </w:pPr>
            <w:r>
              <w:rPr>
                <w:rFonts w:ascii="ＭＳ ゴシック" w:hint="eastAsia"/>
              </w:rPr>
              <w:t xml:space="preserve">　総務省は報告された状況を取りまとめ公表する。</w:t>
            </w:r>
          </w:p>
        </w:tc>
      </w:tr>
    </w:tbl>
    <w:p w:rsidR="006A78C8" w:rsidRDefault="006A78C8">
      <w:pPr>
        <w:ind w:left="480"/>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675"/>
        </w:trPr>
        <w:tc>
          <w:tcPr>
            <w:tcW w:w="10395" w:type="dxa"/>
          </w:tcPr>
          <w:p w:rsidR="006A78C8" w:rsidRDefault="006A78C8">
            <w:pPr>
              <w:ind w:left="132"/>
              <w:rPr>
                <w:rFonts w:ascii="ＭＳ ゴシック"/>
              </w:rPr>
            </w:pPr>
            <w:r>
              <w:rPr>
                <w:rFonts w:ascii="ＭＳ ゴシック" w:hint="eastAsia"/>
              </w:rPr>
              <w:t>(</w:t>
            </w:r>
            <w:r>
              <w:rPr>
                <w:rFonts w:ascii="ＭＳ ゴシック"/>
              </w:rPr>
              <w:t>4)</w:t>
            </w:r>
            <w:r>
              <w:rPr>
                <w:rFonts w:ascii="ＭＳ ゴシック" w:hint="eastAsia"/>
              </w:rPr>
              <w:t xml:space="preserve">　見直し</w:t>
            </w:r>
          </w:p>
          <w:p w:rsidR="006A78C8" w:rsidRDefault="006A78C8">
            <w:pPr>
              <w:ind w:left="487"/>
              <w:rPr>
                <w:rFonts w:ascii="ＭＳ ゴシック"/>
              </w:rPr>
            </w:pPr>
            <w:r>
              <w:rPr>
                <w:rFonts w:ascii="ＭＳ ゴシック" w:hint="eastAsia"/>
              </w:rPr>
              <w:t xml:space="preserve">　本手続は、必要に応じ見直しを行う。</w:t>
            </w:r>
          </w:p>
        </w:tc>
      </w:tr>
    </w:tbl>
    <w:p w:rsidR="006A78C8" w:rsidRDefault="006A78C8">
      <w:pPr>
        <w:ind w:left="480"/>
        <w:rPr>
          <w:rFonts w:asci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5"/>
      </w:tblGrid>
      <w:tr w:rsidR="006A78C8">
        <w:trPr>
          <w:trHeight w:val="300"/>
        </w:trPr>
        <w:tc>
          <w:tcPr>
            <w:tcW w:w="10395" w:type="dxa"/>
          </w:tcPr>
          <w:p w:rsidR="006A78C8" w:rsidRDefault="006A78C8">
            <w:pPr>
              <w:ind w:left="-66"/>
              <w:rPr>
                <w:rFonts w:ascii="ＭＳ ゴシック"/>
              </w:rPr>
            </w:pPr>
            <w:r>
              <w:rPr>
                <w:rFonts w:ascii="ＭＳ ゴシック" w:hint="eastAsia"/>
              </w:rPr>
              <w:t>４　適用日等</w:t>
            </w:r>
          </w:p>
          <w:p w:rsidR="006A78C8" w:rsidRDefault="006A78C8">
            <w:pPr>
              <w:ind w:left="237"/>
              <w:rPr>
                <w:rFonts w:ascii="ＭＳ ゴシック"/>
              </w:rPr>
            </w:pPr>
            <w:r>
              <w:rPr>
                <w:rFonts w:ascii="ＭＳ ゴシック" w:hint="eastAsia"/>
              </w:rPr>
              <w:t xml:space="preserve">　本手続は、平成１１年４月１日以降の国の行政機関等の意思表示に適用する。ただし、本手続適用開始時に、既に立案の途中にあるものについては、本手続の対象としないが、可能な限り本手続に準じた手続を経ることとする。</w:t>
            </w:r>
          </w:p>
        </w:tc>
      </w:tr>
    </w:tbl>
    <w:p w:rsidR="006A78C8" w:rsidRDefault="006A78C8"/>
    <w:p w:rsidR="006A78C8" w:rsidRDefault="006A78C8"/>
    <w:p w:rsidR="006A78C8" w:rsidRDefault="006A78C8"/>
    <w:p w:rsidR="006A78C8" w:rsidRDefault="006A78C8">
      <w:pPr>
        <w:ind w:left="442" w:hanging="442"/>
      </w:pPr>
      <w:r>
        <w:rPr>
          <w:rFonts w:hint="eastAsia"/>
        </w:rPr>
        <w:t>（</w:t>
      </w:r>
      <w:r>
        <w:rPr>
          <w:rFonts w:hint="eastAsia"/>
          <w:u w:val="single"/>
        </w:rPr>
        <w:t>注）閣議決定がなされたのは枠囲み中のみであり、「（考え方）」は、各省庁了解のものとして閣議において配布された閣議決定本文の注釈である</w:t>
      </w:r>
      <w:r>
        <w:rPr>
          <w:rFonts w:hint="eastAsia"/>
        </w:rPr>
        <w:t>。</w:t>
      </w:r>
    </w:p>
    <w:p w:rsidR="006A78C8" w:rsidRDefault="006A78C8">
      <w:pPr>
        <w:pStyle w:val="a5"/>
      </w:pPr>
    </w:p>
    <w:sectPr w:rsidR="006A78C8">
      <w:footerReference w:type="even" r:id="rId7"/>
      <w:footerReference w:type="default" r:id="rId8"/>
      <w:pgSz w:w="11906" w:h="16838" w:code="9"/>
      <w:pgMar w:top="1701" w:right="851" w:bottom="1418" w:left="851" w:header="851" w:footer="992" w:gutter="0"/>
      <w:cols w:space="425"/>
      <w:docGrid w:type="linesAndChars" w:linePitch="361"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F4" w:rsidRDefault="002535F4">
      <w:r>
        <w:separator/>
      </w:r>
    </w:p>
  </w:endnote>
  <w:endnote w:type="continuationSeparator" w:id="0">
    <w:p w:rsidR="002535F4" w:rsidRDefault="0025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8" w:rsidRDefault="006A78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A78C8" w:rsidRDefault="006A78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8" w:rsidRDefault="006A78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5E8C">
      <w:rPr>
        <w:rStyle w:val="a7"/>
        <w:noProof/>
      </w:rPr>
      <w:t>1</w:t>
    </w:r>
    <w:r>
      <w:rPr>
        <w:rStyle w:val="a7"/>
      </w:rPr>
      <w:fldChar w:fldCharType="end"/>
    </w:r>
  </w:p>
  <w:p w:rsidR="006A78C8" w:rsidRDefault="006A78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F4" w:rsidRDefault="002535F4">
      <w:r>
        <w:separator/>
      </w:r>
    </w:p>
  </w:footnote>
  <w:footnote w:type="continuationSeparator" w:id="0">
    <w:p w:rsidR="002535F4" w:rsidRDefault="00253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1302F"/>
    <w:multiLevelType w:val="singleLevel"/>
    <w:tmpl w:val="5A48E0D4"/>
    <w:lvl w:ilvl="0">
      <w:start w:val="5"/>
      <w:numFmt w:val="decimal"/>
      <w:lvlText w:val="(%1)"/>
      <w:lvlJc w:val="left"/>
      <w:pPr>
        <w:tabs>
          <w:tab w:val="num" w:pos="1661"/>
        </w:tabs>
        <w:ind w:left="1661"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C8"/>
    <w:rsid w:val="002535F4"/>
    <w:rsid w:val="003E3D67"/>
    <w:rsid w:val="006A78C8"/>
    <w:rsid w:val="00A85E8C"/>
    <w:rsid w:val="00BA3816"/>
    <w:rsid w:val="00E52DD0"/>
    <w:rsid w:val="00F3129A"/>
    <w:rsid w:val="00F7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8848883-B6C0-4A21-B168-A3E5186C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津村"/>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86" w:hanging="386"/>
      <w:jc w:val="left"/>
    </w:pPr>
  </w:style>
  <w:style w:type="paragraph" w:styleId="a4">
    <w:name w:val="Body Text"/>
    <w:basedOn w:val="a"/>
    <w:pPr>
      <w:jc w:val="left"/>
    </w:pPr>
  </w:style>
  <w:style w:type="paragraph" w:styleId="2">
    <w:name w:val="Body Text Indent 2"/>
    <w:basedOn w:val="a"/>
    <w:pPr>
      <w:ind w:left="699" w:hanging="386"/>
      <w:jc w:val="left"/>
    </w:pPr>
  </w:style>
  <w:style w:type="paragraph" w:styleId="3">
    <w:name w:val="Body Text Indent 3"/>
    <w:basedOn w:val="a"/>
    <w:pPr>
      <w:ind w:left="313"/>
      <w:jc w:val="left"/>
    </w:pPr>
  </w:style>
  <w:style w:type="paragraph" w:styleId="a5">
    <w:name w:val="Date"/>
    <w:basedOn w:val="a"/>
    <w:next w:val="a"/>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621</Words>
  <Characters>3543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前文</vt:lpstr>
    </vt:vector>
  </TitlesOfParts>
  <Company>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3</cp:revision>
  <cp:lastPrinted>1999-03-19T12:19:00Z</cp:lastPrinted>
  <dcterms:created xsi:type="dcterms:W3CDTF">2017-12-27T07:17:00Z</dcterms:created>
  <dcterms:modified xsi:type="dcterms:W3CDTF">2017-12-27T08:40:00Z</dcterms:modified>
</cp:coreProperties>
</file>