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474765" w:rsidRDefault="00860104" w:rsidP="00960238">
      <w:pPr>
        <w:snapToGrid w:val="0"/>
        <w:spacing w:line="120" w:lineRule="atLeast"/>
        <w:ind w:rightChars="-202" w:right="-424"/>
        <w:rPr>
          <w:rFonts w:ascii="ＭＳ ゴシック" w:eastAsia="ＭＳ ゴシック" w:hAnsi="ＭＳ ゴシック"/>
          <w:b/>
          <w:bCs/>
          <w:sz w:val="28"/>
          <w:szCs w:val="28"/>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4982210</wp:posOffset>
                </wp:positionH>
                <wp:positionV relativeFrom="paragraph">
                  <wp:posOffset>-55880</wp:posOffset>
                </wp:positionV>
                <wp:extent cx="914400" cy="342900"/>
                <wp:effectExtent l="4445" t="0" r="0" b="3810"/>
                <wp:wrapNone/>
                <wp:docPr id="1"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5" w:rsidRDefault="00D64F65" w:rsidP="00474765">
                            <w:pPr>
                              <w:rPr>
                                <w:rFonts w:eastAsia="ＭＳ ゴシック"/>
                                <w:sz w:val="24"/>
                              </w:rPr>
                            </w:pPr>
                            <w:r>
                              <w:rPr>
                                <w:rFonts w:eastAsia="ＭＳ ゴシック" w:hint="eastAsia"/>
                                <w:sz w:val="24"/>
                              </w:rPr>
                              <w:t>（参考９</w:t>
                            </w:r>
                            <w:r w:rsidR="00474765">
                              <w:rPr>
                                <w:rFonts w:eastAsia="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4" o:spid="_x0000_s1026" type="#_x0000_t202" style="position:absolute;left:0;text-align:left;margin-left:392.3pt;margin-top:-4.4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Fs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" filled="f" stroked="f">
                <v:textbox>
                  <w:txbxContent>
                    <w:p w:rsidR="00474765" w:rsidRDefault="00D64F65" w:rsidP="00474765">
                      <w:pPr>
                        <w:rPr>
                          <w:rFonts w:eastAsia="ＭＳ ゴシック" w:hint="eastAsia"/>
                          <w:sz w:val="24"/>
                        </w:rPr>
                      </w:pPr>
                      <w:r>
                        <w:rPr>
                          <w:rFonts w:eastAsia="ＭＳ ゴシック" w:hint="eastAsia"/>
                          <w:sz w:val="24"/>
                        </w:rPr>
                        <w:t>（参考９</w:t>
                      </w:r>
                      <w:r w:rsidR="00474765">
                        <w:rPr>
                          <w:rFonts w:eastAsia="ＭＳ ゴシック" w:hint="eastAsia"/>
                          <w:sz w:val="24"/>
                        </w:rPr>
                        <w:t>）</w:t>
                      </w:r>
                    </w:p>
                  </w:txbxContent>
                </v:textbox>
              </v:shape>
            </w:pict>
          </mc:Fallback>
        </mc:AlternateContent>
      </w:r>
    </w:p>
    <w:bookmarkEnd w:id="0"/>
    <w:p w:rsidR="00736C08" w:rsidRPr="004D1623" w:rsidRDefault="00B64C0B" w:rsidP="00736C08">
      <w:pPr>
        <w:spacing w:line="0" w:lineRule="atLeas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13EE2">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736C08" w:rsidRPr="00513EE2" w:rsidRDefault="00736C08" w:rsidP="00736C08">
      <w:pPr>
        <w:rPr>
          <w:rFonts w:asciiTheme="minorEastAsia" w:eastAsiaTheme="minorEastAsia" w:hAnsiTheme="minorEastAsia"/>
          <w:sz w:val="24"/>
        </w:rPr>
      </w:pPr>
      <w:r w:rsidRPr="00513EE2">
        <w:rPr>
          <w:rFonts w:asciiTheme="minorEastAsia" w:eastAsiaTheme="minorEastAsia" w:hAnsiTheme="minorEastAsia" w:hint="eastAsia"/>
          <w:sz w:val="24"/>
        </w:rPr>
        <w:t>１　字幕放送（</w:t>
      </w:r>
      <w:r w:rsidR="00D64F65" w:rsidRPr="00513EE2">
        <w:rPr>
          <w:rFonts w:asciiTheme="minorEastAsia" w:eastAsiaTheme="minorEastAsia" w:hAnsiTheme="minorEastAsia" w:hint="eastAsia"/>
          <w:sz w:val="24"/>
        </w:rPr>
        <w:t>※</w:t>
      </w:r>
      <w:r w:rsidR="00D64F65" w:rsidRPr="00513EE2">
        <w:rPr>
          <w:rFonts w:asciiTheme="minorEastAsia" w:eastAsiaTheme="minorEastAsia" w:hAnsiTheme="minorEastAsia"/>
          <w:sz w:val="24"/>
        </w:rPr>
        <w:t>１</w:t>
      </w:r>
      <w:r w:rsidRPr="00513EE2">
        <w:rPr>
          <w:rFonts w:asciiTheme="minorEastAsia" w:eastAsiaTheme="minorEastAsia" w:hAnsiTheme="minorEastAsia" w:hint="eastAsia"/>
          <w:sz w:val="24"/>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513EE2" w:rsidTr="00F67EE2">
        <w:trPr>
          <w:trHeight w:val="256"/>
          <w:jc w:val="center"/>
        </w:trPr>
        <w:tc>
          <w:tcPr>
            <w:tcW w:w="1838" w:type="dxa"/>
            <w:vMerge w:val="restart"/>
            <w:shd w:val="clear" w:color="auto" w:fill="auto"/>
            <w:tcMar>
              <w:top w:w="72" w:type="dxa"/>
              <w:left w:w="144" w:type="dxa"/>
              <w:bottom w:w="72" w:type="dxa"/>
              <w:right w:w="144" w:type="dxa"/>
            </w:tcMar>
            <w:hideMark/>
          </w:tcPr>
          <w:p w:rsidR="00D64F65" w:rsidRPr="00513EE2" w:rsidRDefault="00D64F65" w:rsidP="00D64F65">
            <w:pPr>
              <w:widowControl/>
              <w:jc w:val="left"/>
              <w:rPr>
                <w:rFonts w:asciiTheme="minorEastAsia" w:eastAsiaTheme="minorEastAsia" w:hAnsiTheme="minorEastAsia" w:cs="ＭＳ Ｐゴシック"/>
                <w:kern w:val="0"/>
                <w:szCs w:val="21"/>
              </w:rPr>
            </w:pPr>
          </w:p>
        </w:tc>
        <w:tc>
          <w:tcPr>
            <w:tcW w:w="2977" w:type="dxa"/>
            <w:gridSpan w:val="2"/>
            <w:shd w:val="clear" w:color="auto" w:fill="auto"/>
            <w:tcMar>
              <w:top w:w="72" w:type="dxa"/>
              <w:left w:w="144" w:type="dxa"/>
              <w:bottom w:w="72" w:type="dxa"/>
              <w:right w:w="144" w:type="dxa"/>
            </w:tcMar>
            <w:hideMark/>
          </w:tcPr>
          <w:p w:rsidR="00D64F65" w:rsidRPr="00513EE2" w:rsidRDefault="00D64F65" w:rsidP="00D64F65">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513EE2" w:rsidRDefault="00D64F65" w:rsidP="00D64F65">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513EE2" w:rsidRDefault="00D64F65" w:rsidP="00D64F65">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備考</w:t>
            </w:r>
          </w:p>
        </w:tc>
      </w:tr>
      <w:tr w:rsidR="00D64F65" w:rsidRPr="00513EE2" w:rsidTr="00F67EE2">
        <w:trPr>
          <w:trHeight w:val="175"/>
          <w:jc w:val="center"/>
        </w:trPr>
        <w:tc>
          <w:tcPr>
            <w:tcW w:w="1838" w:type="dxa"/>
            <w:vMerge/>
            <w:shd w:val="clear" w:color="auto" w:fill="auto"/>
            <w:vAlign w:val="center"/>
            <w:hideMark/>
          </w:tcPr>
          <w:p w:rsidR="00D64F65" w:rsidRPr="00513EE2" w:rsidRDefault="00D64F65" w:rsidP="00D64F65">
            <w:pPr>
              <w:widowControl/>
              <w:jc w:val="left"/>
              <w:rPr>
                <w:rFonts w:asciiTheme="minorEastAsia" w:eastAsiaTheme="minorEastAsia" w:hAnsiTheme="minorEastAsia" w:cs="ＭＳ Ｐゴシック"/>
                <w:kern w:val="0"/>
                <w:szCs w:val="21"/>
              </w:rPr>
            </w:pPr>
          </w:p>
        </w:tc>
        <w:tc>
          <w:tcPr>
            <w:tcW w:w="1418" w:type="dxa"/>
            <w:shd w:val="clear" w:color="auto" w:fill="auto"/>
            <w:tcMar>
              <w:top w:w="72" w:type="dxa"/>
              <w:left w:w="144" w:type="dxa"/>
              <w:bottom w:w="72" w:type="dxa"/>
              <w:right w:w="144" w:type="dxa"/>
            </w:tcMar>
            <w:hideMark/>
          </w:tcPr>
          <w:p w:rsidR="00D64F65" w:rsidRPr="00513EE2" w:rsidRDefault="00D64F65" w:rsidP="00D64F65">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放送時間</w:t>
            </w:r>
          </w:p>
        </w:tc>
        <w:tc>
          <w:tcPr>
            <w:tcW w:w="1559" w:type="dxa"/>
            <w:shd w:val="clear" w:color="auto" w:fill="auto"/>
            <w:tcMar>
              <w:top w:w="72" w:type="dxa"/>
              <w:left w:w="144" w:type="dxa"/>
              <w:bottom w:w="72" w:type="dxa"/>
              <w:right w:w="144" w:type="dxa"/>
            </w:tcMar>
            <w:hideMark/>
          </w:tcPr>
          <w:p w:rsidR="00D64F65" w:rsidRPr="00513EE2" w:rsidRDefault="00D64F65" w:rsidP="00D64F65">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放送番組</w:t>
            </w:r>
          </w:p>
        </w:tc>
        <w:tc>
          <w:tcPr>
            <w:tcW w:w="2126" w:type="dxa"/>
            <w:vMerge/>
            <w:shd w:val="clear" w:color="auto" w:fill="auto"/>
            <w:vAlign w:val="center"/>
            <w:hideMark/>
          </w:tcPr>
          <w:p w:rsidR="00D64F65" w:rsidRPr="00513EE2" w:rsidRDefault="00D64F65" w:rsidP="00D64F65">
            <w:pPr>
              <w:widowControl/>
              <w:jc w:val="left"/>
              <w:rPr>
                <w:rFonts w:asciiTheme="minorEastAsia" w:eastAsiaTheme="minorEastAsia" w:hAnsiTheme="minorEastAsia" w:cs="Arial"/>
                <w:kern w:val="0"/>
                <w:szCs w:val="21"/>
              </w:rPr>
            </w:pPr>
          </w:p>
        </w:tc>
        <w:tc>
          <w:tcPr>
            <w:tcW w:w="1985" w:type="dxa"/>
            <w:vMerge/>
            <w:shd w:val="clear" w:color="auto" w:fill="auto"/>
            <w:vAlign w:val="center"/>
            <w:hideMark/>
          </w:tcPr>
          <w:p w:rsidR="00D64F65" w:rsidRPr="00513EE2" w:rsidRDefault="00D64F65" w:rsidP="00D64F65">
            <w:pPr>
              <w:widowControl/>
              <w:jc w:val="left"/>
              <w:rPr>
                <w:rFonts w:asciiTheme="minorEastAsia" w:eastAsiaTheme="minorEastAsia" w:hAnsiTheme="minorEastAsia" w:cs="Arial"/>
                <w:kern w:val="0"/>
                <w:szCs w:val="21"/>
              </w:rPr>
            </w:pPr>
          </w:p>
        </w:tc>
      </w:tr>
      <w:tr w:rsidR="00D64F65" w:rsidRPr="00513EE2" w:rsidTr="00F67EE2">
        <w:trPr>
          <w:trHeight w:val="1427"/>
          <w:jc w:val="center"/>
        </w:trPr>
        <w:tc>
          <w:tcPr>
            <w:tcW w:w="1838" w:type="dxa"/>
            <w:shd w:val="clear" w:color="auto" w:fill="auto"/>
            <w:tcMar>
              <w:top w:w="72" w:type="dxa"/>
              <w:left w:w="144" w:type="dxa"/>
              <w:bottom w:w="72" w:type="dxa"/>
              <w:right w:w="144" w:type="dxa"/>
            </w:tcMar>
            <w:hideMark/>
          </w:tcPr>
          <w:p w:rsidR="00D64F65" w:rsidRPr="00513EE2" w:rsidRDefault="00D64F65" w:rsidP="00313C7D">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513EE2" w:rsidRDefault="00B6311A" w:rsidP="00313C7D">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６</w:t>
            </w:r>
            <w:r w:rsidR="00D64F65" w:rsidRPr="00513EE2">
              <w:rPr>
                <w:rFonts w:asciiTheme="minorEastAsia" w:eastAsiaTheme="minorEastAsia" w:hAnsiTheme="minorEastAsia" w:cs="Arial" w:hint="eastAsia"/>
                <w:color w:val="000000"/>
                <w:kern w:val="24"/>
                <w:szCs w:val="21"/>
              </w:rPr>
              <w:t>時から　25時までのうち連続した18時間</w:t>
            </w:r>
          </w:p>
          <w:p w:rsidR="00313C7D" w:rsidRPr="00513EE2" w:rsidRDefault="00313C7D" w:rsidP="00313C7D">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noProof/>
                <w:color w:val="000000"/>
                <w:kern w:val="24"/>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513EE2" w:rsidRDefault="00313C7D" w:rsidP="00313C7D">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513EE2" w:rsidRDefault="00D64F65" w:rsidP="00313C7D">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字幕付与可能な全ての放送番組</w:t>
            </w:r>
          </w:p>
          <w:p w:rsidR="00313C7D" w:rsidRPr="00513EE2" w:rsidRDefault="00313C7D" w:rsidP="00313C7D">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noProof/>
                <w:color w:val="000000"/>
                <w:kern w:val="24"/>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513EE2" w:rsidRDefault="00313C7D" w:rsidP="00313C7D">
            <w:pPr>
              <w:spacing w:line="240" w:lineRule="exact"/>
              <w:rPr>
                <w:rFonts w:asciiTheme="minorEastAsia" w:eastAsiaTheme="minorEastAsia" w:hAnsiTheme="minorEastAsia"/>
                <w:szCs w:val="21"/>
              </w:rPr>
            </w:pPr>
            <w:r w:rsidRPr="00513EE2">
              <w:rPr>
                <w:rFonts w:asciiTheme="minorEastAsia" w:eastAsiaTheme="minorEastAsia" w:hAnsiTheme="minorEastAsia" w:hint="eastAsia"/>
                <w:szCs w:val="21"/>
              </w:rPr>
              <w:t>「字幕付与可能な放送番組」とは、次に掲げる放送番組を除く全ての放送番組</w:t>
            </w:r>
          </w:p>
          <w:p w:rsidR="00313C7D" w:rsidRPr="00513EE2" w:rsidRDefault="00313C7D" w:rsidP="00313C7D">
            <w:pPr>
              <w:spacing w:line="240" w:lineRule="exac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① 技術的に字幕を付すことができない放送番組（例：現在のところ複数人が同時に会話を行う生放送番組）</w:t>
            </w:r>
          </w:p>
          <w:p w:rsidR="00313C7D" w:rsidRPr="00513EE2" w:rsidRDefault="00313C7D" w:rsidP="00313C7D">
            <w:pPr>
              <w:spacing w:line="240" w:lineRule="exac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② 外国語の番組</w:t>
            </w:r>
          </w:p>
          <w:p w:rsidR="00313C7D" w:rsidRPr="00513EE2" w:rsidRDefault="00313C7D" w:rsidP="00313C7D">
            <w:pPr>
              <w:spacing w:line="240" w:lineRule="exac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③ 大部分が器楽演奏の音楽番組</w:t>
            </w:r>
          </w:p>
          <w:p w:rsidR="00313C7D" w:rsidRPr="00513EE2" w:rsidRDefault="00313C7D" w:rsidP="00313C7D">
            <w:pPr>
              <w:spacing w:line="240" w:lineRule="exac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④ 権利処理上の理由等により字幕を付すことができない放送番組</w:t>
            </w:r>
          </w:p>
          <w:p w:rsidR="00313C7D" w:rsidRPr="00513EE2" w:rsidRDefault="00313C7D" w:rsidP="00313C7D">
            <w:pPr>
              <w:widowControl/>
              <w:spacing w:line="240" w:lineRule="exact"/>
              <w:jc w:val="left"/>
              <w:textAlignment w:val="baseline"/>
              <w:rPr>
                <w:rFonts w:asciiTheme="minorEastAsia" w:eastAsiaTheme="minorEastAsia" w:hAnsiTheme="minorEastAsia" w:cs="Arial"/>
                <w:kern w:val="0"/>
                <w:szCs w:val="21"/>
              </w:rPr>
            </w:pPr>
          </w:p>
        </w:tc>
        <w:tc>
          <w:tcPr>
            <w:tcW w:w="2126" w:type="dxa"/>
            <w:shd w:val="clear" w:color="auto" w:fill="auto"/>
            <w:tcMar>
              <w:top w:w="72" w:type="dxa"/>
              <w:left w:w="144" w:type="dxa"/>
              <w:bottom w:w="72" w:type="dxa"/>
              <w:right w:w="144" w:type="dxa"/>
            </w:tcMar>
            <w:hideMark/>
          </w:tcPr>
          <w:p w:rsidR="00D64F65" w:rsidRPr="00513EE2" w:rsidRDefault="00D64F65" w:rsidP="00313C7D">
            <w:pPr>
              <w:widowControl/>
              <w:spacing w:line="240" w:lineRule="exact"/>
              <w:ind w:left="144" w:hanging="144"/>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対象の放送番組の全てに字幕付与（※</w:t>
            </w:r>
            <w:r w:rsidR="00313C7D" w:rsidRPr="00513EE2">
              <w:rPr>
                <w:rFonts w:asciiTheme="minorEastAsia" w:eastAsiaTheme="minorEastAsia" w:hAnsiTheme="minorEastAsia" w:hint="eastAsia"/>
                <w:color w:val="000000"/>
                <w:kern w:val="24"/>
                <w:szCs w:val="21"/>
              </w:rPr>
              <w:t>２</w:t>
            </w:r>
            <w:r w:rsidRPr="00513EE2">
              <w:rPr>
                <w:rFonts w:asciiTheme="minorEastAsia" w:eastAsiaTheme="minorEastAsia" w:hAnsiTheme="minorEastAsia" w:hint="eastAsia"/>
                <w:color w:val="000000"/>
                <w:kern w:val="24"/>
                <w:szCs w:val="21"/>
              </w:rPr>
              <w:t>）</w:t>
            </w:r>
          </w:p>
        </w:tc>
        <w:tc>
          <w:tcPr>
            <w:tcW w:w="1985" w:type="dxa"/>
            <w:shd w:val="clear" w:color="auto" w:fill="auto"/>
            <w:tcMar>
              <w:top w:w="72" w:type="dxa"/>
              <w:left w:w="144" w:type="dxa"/>
              <w:bottom w:w="72" w:type="dxa"/>
              <w:right w:w="144" w:type="dxa"/>
            </w:tcMar>
            <w:hideMark/>
          </w:tcPr>
          <w:p w:rsidR="00D64F65" w:rsidRPr="00513EE2" w:rsidRDefault="00D64F65" w:rsidP="00313C7D">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教育放送及びBS1については、できる限り目標に近づくよう字幕付与</w:t>
            </w:r>
          </w:p>
          <w:p w:rsidR="00D64F65" w:rsidRPr="00513EE2" w:rsidRDefault="00D64F65" w:rsidP="00313C7D">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BSプレミアムについては、対象の放送番組の全てに字幕付与（※</w:t>
            </w:r>
            <w:r w:rsidR="00313C7D" w:rsidRPr="00513EE2">
              <w:rPr>
                <w:rFonts w:asciiTheme="minorEastAsia" w:eastAsiaTheme="minorEastAsia" w:hAnsiTheme="minorEastAsia" w:cs="Arial" w:hint="eastAsia"/>
                <w:color w:val="000000"/>
                <w:kern w:val="24"/>
                <w:szCs w:val="21"/>
              </w:rPr>
              <w:t>２</w:t>
            </w:r>
            <w:r w:rsidRPr="00513EE2">
              <w:rPr>
                <w:rFonts w:asciiTheme="minorEastAsia" w:eastAsiaTheme="minorEastAsia" w:hAnsiTheme="minorEastAsia" w:cs="Arial" w:hint="eastAsia"/>
                <w:color w:val="000000"/>
                <w:kern w:val="24"/>
                <w:szCs w:val="21"/>
              </w:rPr>
              <w:t>）</w:t>
            </w:r>
          </w:p>
        </w:tc>
      </w:tr>
      <w:tr w:rsidR="00531E93" w:rsidRPr="00513EE2" w:rsidTr="00513EE2">
        <w:trPr>
          <w:trHeight w:val="726"/>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地上系民放</w:t>
            </w:r>
          </w:p>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（県域局以外）</w:t>
            </w:r>
          </w:p>
        </w:tc>
        <w:tc>
          <w:tcPr>
            <w:tcW w:w="1418" w:type="dxa"/>
            <w:vMerge/>
            <w:shd w:val="clear" w:color="auto" w:fill="auto"/>
            <w:tcMar>
              <w:top w:w="72" w:type="dxa"/>
              <w:left w:w="144" w:type="dxa"/>
              <w:bottom w:w="72" w:type="dxa"/>
              <w:right w:w="144" w:type="dxa"/>
            </w:tcMar>
            <w:vAlign w:val="center"/>
          </w:tcPr>
          <w:p w:rsidR="00531E93" w:rsidRPr="00513EE2" w:rsidRDefault="00531E93" w:rsidP="00313C7D">
            <w:pPr>
              <w:widowControl/>
              <w:spacing w:line="240" w:lineRule="exact"/>
              <w:jc w:val="left"/>
              <w:textAlignment w:val="baseline"/>
              <w:rPr>
                <w:rFonts w:asciiTheme="minorEastAsia" w:eastAsiaTheme="minorEastAsia" w:hAnsiTheme="minorEastAsia" w:cs="Arial"/>
                <w:color w:val="000000"/>
                <w:kern w:val="24"/>
                <w:szCs w:val="21"/>
              </w:rPr>
            </w:pPr>
          </w:p>
        </w:tc>
        <w:tc>
          <w:tcPr>
            <w:tcW w:w="1559" w:type="dxa"/>
            <w:vMerge/>
            <w:shd w:val="clear" w:color="auto" w:fill="auto"/>
            <w:tcMar>
              <w:top w:w="72" w:type="dxa"/>
              <w:left w:w="144" w:type="dxa"/>
              <w:bottom w:w="72" w:type="dxa"/>
              <w:right w:w="144" w:type="dxa"/>
            </w:tcMar>
            <w:vAlign w:val="center"/>
          </w:tcPr>
          <w:p w:rsidR="00531E93" w:rsidRPr="00513EE2" w:rsidRDefault="00531E93" w:rsidP="00313C7D">
            <w:pPr>
              <w:widowControl/>
              <w:spacing w:line="240" w:lineRule="exact"/>
              <w:jc w:val="left"/>
              <w:textAlignment w:val="baseline"/>
              <w:rPr>
                <w:rFonts w:asciiTheme="minorEastAsia" w:eastAsiaTheme="minorEastAsia" w:hAnsiTheme="minorEastAsia" w:cs="Arial"/>
                <w:color w:val="000000"/>
                <w:kern w:val="24"/>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513EE2" w:rsidRDefault="00531E93" w:rsidP="00313C7D">
            <w:pPr>
              <w:widowControl/>
              <w:spacing w:line="240" w:lineRule="exact"/>
              <w:ind w:left="144" w:hanging="144"/>
              <w:textAlignment w:val="baseline"/>
              <w:rPr>
                <w:rFonts w:asciiTheme="minorEastAsia" w:eastAsiaTheme="minorEastAsia" w:hAnsiTheme="minorEastAsia"/>
                <w:color w:val="000000"/>
                <w:kern w:val="24"/>
                <w:szCs w:val="21"/>
              </w:rPr>
            </w:pPr>
            <w:r w:rsidRPr="00513EE2">
              <w:rPr>
                <w:rFonts w:asciiTheme="minorEastAsia" w:eastAsiaTheme="minorEastAsia" w:hAnsiTheme="minorEastAsia" w:hint="eastAsia"/>
                <w:color w:val="000000"/>
                <w:kern w:val="24"/>
                <w:szCs w:val="21"/>
              </w:rPr>
              <w:t>・　対象の放送番組の全てに字幕付与（※２）</w:t>
            </w:r>
          </w:p>
        </w:tc>
        <w:tc>
          <w:tcPr>
            <w:tcW w:w="1985" w:type="dxa"/>
            <w:tcBorders>
              <w:bottom w:val="dashed" w:sz="4" w:space="0" w:color="000000"/>
            </w:tcBorders>
            <w:shd w:val="clear" w:color="auto" w:fill="auto"/>
            <w:tcMar>
              <w:top w:w="72" w:type="dxa"/>
              <w:left w:w="144" w:type="dxa"/>
              <w:bottom w:w="72" w:type="dxa"/>
              <w:right w:w="144" w:type="dxa"/>
            </w:tcMar>
          </w:tcPr>
          <w:p w:rsidR="00531E93" w:rsidRPr="00513EE2" w:rsidRDefault="00531E93" w:rsidP="00313C7D">
            <w:pPr>
              <w:widowControl/>
              <w:spacing w:line="240" w:lineRule="exact"/>
              <w:ind w:left="144" w:hanging="144"/>
              <w:jc w:val="left"/>
              <w:textAlignment w:val="baseline"/>
              <w:rPr>
                <w:rFonts w:asciiTheme="minorEastAsia" w:eastAsiaTheme="minorEastAsia" w:hAnsiTheme="minorEastAsia" w:cs="Arial"/>
                <w:color w:val="000000"/>
                <w:kern w:val="24"/>
                <w:szCs w:val="21"/>
              </w:rPr>
            </w:pPr>
          </w:p>
        </w:tc>
      </w:tr>
      <w:tr w:rsidR="00531E93" w:rsidRPr="00513EE2" w:rsidTr="00513EE2">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（県域局）</w:t>
            </w:r>
          </w:p>
        </w:tc>
        <w:tc>
          <w:tcPr>
            <w:tcW w:w="1418" w:type="dxa"/>
            <w:vMerge/>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1559" w:type="dxa"/>
            <w:vMerge/>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w:t>
            </w:r>
            <w:r w:rsidRPr="00513EE2">
              <w:rPr>
                <w:rFonts w:asciiTheme="minorEastAsia" w:eastAsiaTheme="minorEastAsia" w:hAnsiTheme="minorEastAsia" w:cs="Arial" w:hint="eastAsia"/>
                <w:color w:val="000000"/>
                <w:kern w:val="24"/>
                <w:szCs w:val="21"/>
              </w:rPr>
              <w:t>80</w:t>
            </w:r>
            <w:r w:rsidRPr="00513EE2">
              <w:rPr>
                <w:rFonts w:asciiTheme="minorEastAsia" w:eastAsiaTheme="minorEastAsia" w:hAnsiTheme="minorEastAsia" w:hint="eastAsia"/>
                <w:color w:val="000000"/>
                <w:kern w:val="24"/>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独立U局については、できる限り多くの番組に字幕付与</w:t>
            </w:r>
          </w:p>
        </w:tc>
      </w:tr>
      <w:tr w:rsidR="00531E93" w:rsidRPr="00513EE2" w:rsidTr="00F67EE2">
        <w:trPr>
          <w:trHeight w:val="1427"/>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放送衛星による放送</w:t>
            </w:r>
          </w:p>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1559" w:type="dxa"/>
            <w:vMerge/>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w:t>
            </w:r>
            <w:r w:rsidRPr="00513EE2">
              <w:rPr>
                <w:rFonts w:asciiTheme="minorEastAsia" w:eastAsiaTheme="minorEastAsia" w:hAnsiTheme="minorEastAsia" w:cs="Arial" w:hint="eastAsia"/>
                <w:color w:val="000000"/>
                <w:kern w:val="24"/>
                <w:szCs w:val="21"/>
              </w:rPr>
              <w:t>50</w:t>
            </w:r>
            <w:r w:rsidRPr="00513EE2">
              <w:rPr>
                <w:rFonts w:asciiTheme="minorEastAsia" w:eastAsiaTheme="minorEastAsia" w:hAnsiTheme="minorEastAsia" w:hint="eastAsia"/>
                <w:color w:val="000000"/>
                <w:kern w:val="24"/>
                <w:szCs w:val="21"/>
              </w:rPr>
              <w:t>％以上に字幕付与。できる限り、対象の全てに字幕付与</w:t>
            </w:r>
          </w:p>
          <w:p w:rsidR="00531E93" w:rsidRPr="00513EE2" w:rsidRDefault="00531E93" w:rsidP="00531E93">
            <w:pPr>
              <w:widowControl/>
              <w:spacing w:line="240" w:lineRule="exact"/>
              <w:ind w:left="144" w:hanging="144"/>
              <w:jc w:val="left"/>
              <w:textAlignment w:val="baseline"/>
              <w:rPr>
                <w:rFonts w:asciiTheme="minorEastAsia" w:eastAsiaTheme="minorEastAsia" w:hAnsiTheme="minorEastAsia"/>
                <w:color w:val="000000"/>
                <w:kern w:val="24"/>
                <w:szCs w:val="21"/>
              </w:rPr>
            </w:pPr>
            <w:r w:rsidRPr="00513EE2">
              <w:rPr>
                <w:rFonts w:asciiTheme="minorEastAsia" w:eastAsiaTheme="minorEastAsia" w:hAnsiTheme="minorEastAsia" w:cs="Arial" w:hint="eastAsia"/>
                <w:color w:val="000000"/>
                <w:kern w:val="24"/>
                <w:szCs w:val="21"/>
              </w:rPr>
              <w:t>・　当面は、できる限り多くの放送番組に字幕付与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513EE2" w:rsidRDefault="00531E93" w:rsidP="00F67EE2">
            <w:pPr>
              <w:widowControl/>
              <w:spacing w:line="240" w:lineRule="exact"/>
              <w:ind w:left="144" w:hanging="144"/>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　2000年度に放送を開始した総合放送を行う事業者以外の放送事業者については、2027年度までに、できる限り対象の全てに字幕付与</w:t>
            </w:r>
          </w:p>
        </w:tc>
      </w:tr>
      <w:tr w:rsidR="00531E93" w:rsidRPr="00513EE2" w:rsidTr="00F67EE2">
        <w:trPr>
          <w:trHeight w:val="1427"/>
          <w:jc w:val="center"/>
        </w:trPr>
        <w:tc>
          <w:tcPr>
            <w:tcW w:w="1838" w:type="dxa"/>
            <w:tcBorders>
              <w:top w:val="nil"/>
              <w:bottom w:val="single"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通信衛星による放送</w:t>
            </w:r>
          </w:p>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有線テレビジョン放送</w:t>
            </w:r>
          </w:p>
        </w:tc>
        <w:tc>
          <w:tcPr>
            <w:tcW w:w="1418" w:type="dxa"/>
            <w:vMerge/>
            <w:tcBorders>
              <w:top w:val="nil"/>
              <w:bottom w:val="single" w:sz="4" w:space="0" w:color="000000"/>
            </w:tcBorders>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1559" w:type="dxa"/>
            <w:vMerge/>
            <w:tcBorders>
              <w:top w:val="nil"/>
              <w:bottom w:val="single" w:sz="4" w:space="0" w:color="000000"/>
            </w:tcBorders>
            <w:shd w:val="clear" w:color="auto" w:fill="auto"/>
            <w:tcMar>
              <w:top w:w="72" w:type="dxa"/>
              <w:left w:w="144" w:type="dxa"/>
              <w:bottom w:w="72" w:type="dxa"/>
              <w:right w:w="144" w:type="dxa"/>
            </w:tcMar>
            <w:vAlign w:val="center"/>
          </w:tcPr>
          <w:p w:rsidR="00531E93" w:rsidRPr="00513EE2" w:rsidRDefault="00531E93" w:rsidP="00531E93">
            <w:pPr>
              <w:widowControl/>
              <w:spacing w:line="240" w:lineRule="exact"/>
              <w:jc w:val="left"/>
              <w:textAlignment w:val="baseline"/>
              <w:rPr>
                <w:rFonts w:asciiTheme="minorEastAsia" w:eastAsiaTheme="minorEastAsia" w:hAnsiTheme="minorEastAsia" w:cs="Arial"/>
                <w:color w:val="000000"/>
                <w:kern w:val="24"/>
                <w:szCs w:val="21"/>
              </w:rPr>
            </w:pPr>
          </w:p>
        </w:tc>
        <w:tc>
          <w:tcPr>
            <w:tcW w:w="2126" w:type="dxa"/>
            <w:tcBorders>
              <w:top w:val="nil"/>
              <w:bottom w:val="single" w:sz="4" w:space="0" w:color="000000"/>
            </w:tcBorders>
            <w:shd w:val="clear" w:color="auto" w:fill="auto"/>
            <w:tcMar>
              <w:top w:w="72" w:type="dxa"/>
              <w:left w:w="144" w:type="dxa"/>
              <w:bottom w:w="72" w:type="dxa"/>
              <w:right w:w="144" w:type="dxa"/>
            </w:tcMar>
          </w:tcPr>
          <w:p w:rsidR="00531E93" w:rsidRPr="00513EE2" w:rsidRDefault="00531E93" w:rsidP="00531E93">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w:t>
            </w:r>
            <w:r w:rsidRPr="00513EE2">
              <w:rPr>
                <w:rFonts w:asciiTheme="minorEastAsia" w:eastAsiaTheme="minorEastAsia" w:hAnsiTheme="minorEastAsia" w:cs="Arial" w:hint="eastAsia"/>
                <w:color w:val="000000"/>
                <w:kern w:val="24"/>
                <w:szCs w:val="21"/>
              </w:rPr>
              <w:t>50</w:t>
            </w:r>
            <w:r w:rsidRPr="00513EE2">
              <w:rPr>
                <w:rFonts w:asciiTheme="minorEastAsia" w:eastAsiaTheme="minorEastAsia" w:hAnsiTheme="minorEastAsia" w:hint="eastAsia"/>
                <w:color w:val="000000"/>
                <w:kern w:val="24"/>
                <w:szCs w:val="21"/>
              </w:rPr>
              <w:t>％以上に字幕付与。できる限り、対象の全てに字幕付与</w:t>
            </w:r>
          </w:p>
          <w:p w:rsidR="00531E93" w:rsidRPr="00513EE2" w:rsidRDefault="00531E93" w:rsidP="00F67EE2">
            <w:pPr>
              <w:widowControl/>
              <w:spacing w:line="240" w:lineRule="exact"/>
              <w:ind w:left="144" w:hanging="144"/>
              <w:jc w:val="left"/>
              <w:textAlignment w:val="baseline"/>
              <w:rPr>
                <w:rFonts w:asciiTheme="minorEastAsia" w:eastAsiaTheme="minorEastAsia" w:hAnsiTheme="minorEastAsia"/>
                <w:color w:val="000000"/>
                <w:kern w:val="24"/>
                <w:szCs w:val="21"/>
              </w:rPr>
            </w:pPr>
            <w:r w:rsidRPr="00513EE2">
              <w:rPr>
                <w:rFonts w:asciiTheme="minorEastAsia" w:eastAsiaTheme="minorEastAsia" w:hAnsiTheme="minorEastAsia" w:cs="Arial" w:hint="eastAsia"/>
                <w:color w:val="000000"/>
                <w:kern w:val="24"/>
                <w:szCs w:val="21"/>
              </w:rPr>
              <w:t>・　当面は、できる限り多くの放送番組に字幕付与</w:t>
            </w:r>
          </w:p>
        </w:tc>
        <w:tc>
          <w:tcPr>
            <w:tcW w:w="1985" w:type="dxa"/>
            <w:tcBorders>
              <w:top w:val="nil"/>
              <w:bottom w:val="single" w:sz="4" w:space="0" w:color="000000"/>
            </w:tcBorders>
            <w:shd w:val="clear" w:color="auto" w:fill="auto"/>
            <w:tcMar>
              <w:top w:w="72" w:type="dxa"/>
              <w:left w:w="144" w:type="dxa"/>
              <w:bottom w:w="72" w:type="dxa"/>
              <w:right w:w="144" w:type="dxa"/>
            </w:tcMar>
          </w:tcPr>
          <w:p w:rsidR="00531E93" w:rsidRPr="00513EE2" w:rsidRDefault="00F67EE2" w:rsidP="00F67EE2">
            <w:pPr>
              <w:widowControl/>
              <w:spacing w:line="240" w:lineRule="exact"/>
              <w:ind w:left="144" w:hanging="144"/>
              <w:jc w:val="left"/>
              <w:textAlignment w:val="baseline"/>
              <w:rPr>
                <w:rFonts w:asciiTheme="minorEastAsia" w:eastAsiaTheme="minorEastAsia" w:hAnsiTheme="minorEastAsia" w:cs="Arial"/>
                <w:color w:val="000000"/>
                <w:kern w:val="24"/>
                <w:szCs w:val="21"/>
              </w:rPr>
            </w:pPr>
            <w:r w:rsidRPr="00513EE2">
              <w:rPr>
                <w:rFonts w:asciiTheme="minorEastAsia" w:eastAsiaTheme="minorEastAsia" w:hAnsiTheme="minorEastAsia" w:cs="Arial" w:hint="eastAsia"/>
                <w:color w:val="000000"/>
                <w:kern w:val="24"/>
                <w:szCs w:val="21"/>
              </w:rPr>
              <w:t>・　2000年度に放送を開始した総合放送を行う事業者以外の放送事業者については、2027年度までに、できる限り対象の全てに字幕付与</w:t>
            </w:r>
          </w:p>
        </w:tc>
      </w:tr>
    </w:tbl>
    <w:p w:rsidR="00D64F65" w:rsidRPr="00513EE2" w:rsidRDefault="00D64F65" w:rsidP="00313C7D">
      <w:pPr>
        <w:spacing w:line="0" w:lineRule="atLeast"/>
        <w:ind w:left="420" w:hangingChars="200" w:hanging="420"/>
        <w:rPr>
          <w:rFonts w:asciiTheme="minorEastAsia" w:eastAsiaTheme="minorEastAsia" w:hAnsiTheme="minorEastAsia"/>
          <w:szCs w:val="21"/>
        </w:rPr>
      </w:pPr>
      <w:r w:rsidRPr="00513EE2">
        <w:rPr>
          <w:rFonts w:asciiTheme="minorEastAsia" w:eastAsiaTheme="minorEastAsia" w:hAnsiTheme="minorEastAsia" w:hint="eastAsia"/>
          <w:szCs w:val="21"/>
        </w:rPr>
        <w:t>※</w:t>
      </w:r>
      <w:r w:rsidRPr="00513EE2">
        <w:rPr>
          <w:rFonts w:asciiTheme="minorEastAsia" w:eastAsiaTheme="minorEastAsia" w:hAnsiTheme="minorEastAsia"/>
          <w:szCs w:val="21"/>
        </w:rPr>
        <w:t>１</w:t>
      </w:r>
      <w:r w:rsidRPr="00513EE2">
        <w:rPr>
          <w:rFonts w:asciiTheme="minorEastAsia" w:eastAsiaTheme="minorEastAsia" w:hAnsiTheme="minorEastAsia" w:hint="eastAsia"/>
          <w:szCs w:val="21"/>
        </w:rPr>
        <w:t xml:space="preserve">　字幕放送には、データ放送やオープンキャプションにより番組の大部分を説明している場合を含む</w:t>
      </w:r>
    </w:p>
    <w:p w:rsidR="00D64F65" w:rsidRPr="00513EE2" w:rsidRDefault="00D64F65" w:rsidP="00313C7D">
      <w:pPr>
        <w:ind w:left="420" w:hangingChars="200" w:hanging="420"/>
        <w:rPr>
          <w:rFonts w:asciiTheme="minorEastAsia" w:eastAsiaTheme="minorEastAsia" w:hAnsiTheme="minorEastAsia"/>
          <w:szCs w:val="21"/>
        </w:rPr>
      </w:pPr>
      <w:r w:rsidRPr="00513EE2">
        <w:rPr>
          <w:rFonts w:asciiTheme="minorEastAsia" w:eastAsiaTheme="minorEastAsia" w:hAnsiTheme="minorEastAsia" w:hint="eastAsia"/>
          <w:szCs w:val="21"/>
        </w:rPr>
        <w:t>※</w:t>
      </w:r>
      <w:r w:rsidR="00313C7D" w:rsidRPr="00513EE2">
        <w:rPr>
          <w:rFonts w:asciiTheme="minorEastAsia" w:eastAsiaTheme="minorEastAsia" w:hAnsiTheme="minorEastAsia" w:hint="eastAsia"/>
          <w:szCs w:val="21"/>
        </w:rPr>
        <w:t>２</w:t>
      </w:r>
      <w:r w:rsidRPr="00513EE2">
        <w:rPr>
          <w:rFonts w:asciiTheme="minorEastAsia" w:eastAsiaTheme="minorEastAsia" w:hAnsiTheme="minorEastAsia" w:hint="eastAsia"/>
          <w:szCs w:val="21"/>
        </w:rPr>
        <w:t xml:space="preserve">　7時から24時以外の1時間については、2022年度までに対象の放送番組の全てに字幕付与</w:t>
      </w:r>
    </w:p>
    <w:p w:rsidR="00736C08" w:rsidRPr="00513EE2" w:rsidRDefault="00736C08" w:rsidP="00736C08">
      <w:pPr>
        <w:rPr>
          <w:rFonts w:asciiTheme="minorEastAsia" w:eastAsiaTheme="minorEastAsia" w:hAnsiTheme="minorEastAsia"/>
          <w:szCs w:val="21"/>
        </w:rPr>
      </w:pPr>
      <w:r w:rsidRPr="00513EE2">
        <w:rPr>
          <w:rFonts w:asciiTheme="minorEastAsia" w:eastAsiaTheme="minorEastAsia" w:hAnsiTheme="minorEastAsia"/>
          <w:szCs w:val="21"/>
        </w:rPr>
        <w:br w:type="page"/>
      </w:r>
      <w:r w:rsidRPr="00513EE2">
        <w:rPr>
          <w:rFonts w:asciiTheme="minorEastAsia" w:eastAsiaTheme="minorEastAsia" w:hAnsiTheme="minorEastAsia" w:hint="eastAsia"/>
          <w:szCs w:val="21"/>
        </w:rPr>
        <w:lastRenderedPageBreak/>
        <w:t>２　解説放送</w:t>
      </w:r>
      <w:r w:rsidR="00313C7D" w:rsidRPr="00513EE2">
        <w:rPr>
          <w:rFonts w:asciiTheme="minorEastAsia" w:eastAsiaTheme="minorEastAsia" w:hAnsiTheme="minorEastAsia" w:hint="eastAsia"/>
          <w:szCs w:val="21"/>
        </w:rPr>
        <w:t>（※３）</w:t>
      </w:r>
    </w:p>
    <w:tbl>
      <w:tblPr>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1848"/>
      </w:tblGrid>
      <w:tr w:rsidR="00F67EE2" w:rsidRPr="00513EE2" w:rsidTr="00F67EE2">
        <w:trPr>
          <w:trHeight w:val="446"/>
        </w:trPr>
        <w:tc>
          <w:tcPr>
            <w:tcW w:w="1511" w:type="dxa"/>
            <w:vMerge w:val="restart"/>
            <w:shd w:val="clear" w:color="auto" w:fill="auto"/>
            <w:tcMar>
              <w:top w:w="72" w:type="dxa"/>
              <w:left w:w="144" w:type="dxa"/>
              <w:bottom w:w="72" w:type="dxa"/>
              <w:right w:w="144" w:type="dxa"/>
            </w:tcMar>
            <w:hideMark/>
          </w:tcPr>
          <w:p w:rsidR="00313C7D" w:rsidRPr="00513EE2" w:rsidRDefault="00313C7D" w:rsidP="00313C7D">
            <w:pPr>
              <w:widowControl/>
              <w:jc w:val="left"/>
              <w:rPr>
                <w:rFonts w:asciiTheme="minorEastAsia" w:eastAsiaTheme="minorEastAsia" w:hAnsiTheme="minorEastAsia" w:cs="ＭＳ Ｐゴシック"/>
                <w:kern w:val="0"/>
                <w:szCs w:val="21"/>
              </w:rPr>
            </w:pPr>
          </w:p>
        </w:tc>
        <w:tc>
          <w:tcPr>
            <w:tcW w:w="3428" w:type="dxa"/>
            <w:gridSpan w:val="2"/>
            <w:shd w:val="clear" w:color="auto" w:fill="auto"/>
            <w:tcMar>
              <w:top w:w="72" w:type="dxa"/>
              <w:left w:w="144" w:type="dxa"/>
              <w:bottom w:w="72" w:type="dxa"/>
              <w:right w:w="144" w:type="dxa"/>
            </w:tcMar>
            <w:hideMark/>
          </w:tcPr>
          <w:p w:rsidR="00313C7D" w:rsidRPr="00513EE2" w:rsidRDefault="00313C7D" w:rsidP="00313C7D">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513EE2" w:rsidRDefault="00313C7D" w:rsidP="00313C7D">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目標</w:t>
            </w:r>
          </w:p>
        </w:tc>
        <w:tc>
          <w:tcPr>
            <w:tcW w:w="1848" w:type="dxa"/>
            <w:vMerge w:val="restart"/>
            <w:shd w:val="clear" w:color="auto" w:fill="auto"/>
            <w:tcMar>
              <w:top w:w="72" w:type="dxa"/>
              <w:left w:w="144" w:type="dxa"/>
              <w:bottom w:w="72" w:type="dxa"/>
              <w:right w:w="144" w:type="dxa"/>
            </w:tcMar>
            <w:vAlign w:val="center"/>
            <w:hideMark/>
          </w:tcPr>
          <w:p w:rsidR="00313C7D" w:rsidRPr="00513EE2" w:rsidRDefault="00313C7D" w:rsidP="00313C7D">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備考</w:t>
            </w:r>
          </w:p>
        </w:tc>
      </w:tr>
      <w:tr w:rsidR="00F67EE2" w:rsidRPr="00513EE2" w:rsidTr="00F67EE2">
        <w:trPr>
          <w:trHeight w:val="446"/>
        </w:trPr>
        <w:tc>
          <w:tcPr>
            <w:tcW w:w="0" w:type="auto"/>
            <w:vMerge/>
            <w:shd w:val="clear" w:color="auto" w:fill="auto"/>
            <w:vAlign w:val="center"/>
            <w:hideMark/>
          </w:tcPr>
          <w:p w:rsidR="00313C7D" w:rsidRPr="00513EE2" w:rsidRDefault="00313C7D" w:rsidP="00313C7D">
            <w:pPr>
              <w:widowControl/>
              <w:jc w:val="left"/>
              <w:rPr>
                <w:rFonts w:asciiTheme="minorEastAsia" w:eastAsiaTheme="minorEastAsia" w:hAnsiTheme="minorEastAsia" w:cs="ＭＳ Ｐゴシック"/>
                <w:kern w:val="0"/>
                <w:szCs w:val="21"/>
              </w:rPr>
            </w:pPr>
          </w:p>
        </w:tc>
        <w:tc>
          <w:tcPr>
            <w:tcW w:w="1585" w:type="dxa"/>
            <w:shd w:val="clear" w:color="auto" w:fill="auto"/>
            <w:tcMar>
              <w:top w:w="72" w:type="dxa"/>
              <w:left w:w="144" w:type="dxa"/>
              <w:bottom w:w="72" w:type="dxa"/>
              <w:right w:w="144" w:type="dxa"/>
            </w:tcMar>
            <w:hideMark/>
          </w:tcPr>
          <w:p w:rsidR="00313C7D" w:rsidRPr="00513EE2" w:rsidRDefault="00313C7D" w:rsidP="00313C7D">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放送時間</w:t>
            </w:r>
          </w:p>
        </w:tc>
        <w:tc>
          <w:tcPr>
            <w:tcW w:w="1843" w:type="dxa"/>
            <w:shd w:val="clear" w:color="auto" w:fill="auto"/>
            <w:tcMar>
              <w:top w:w="72" w:type="dxa"/>
              <w:left w:w="144" w:type="dxa"/>
              <w:bottom w:w="72" w:type="dxa"/>
              <w:right w:w="144" w:type="dxa"/>
            </w:tcMar>
            <w:hideMark/>
          </w:tcPr>
          <w:p w:rsidR="00313C7D" w:rsidRPr="00513EE2" w:rsidRDefault="00313C7D" w:rsidP="00313C7D">
            <w:pPr>
              <w:widowControl/>
              <w:jc w:val="center"/>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放送番組</w:t>
            </w:r>
          </w:p>
        </w:tc>
        <w:tc>
          <w:tcPr>
            <w:tcW w:w="1701"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848"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r>
      <w:tr w:rsidR="00F67EE2" w:rsidRPr="00513EE2" w:rsidTr="00F67EE2">
        <w:trPr>
          <w:trHeight w:val="981"/>
        </w:trPr>
        <w:tc>
          <w:tcPr>
            <w:tcW w:w="151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513EE2" w:rsidRDefault="00313C7D" w:rsidP="00313C7D">
            <w:pPr>
              <w:widowControl/>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7時から</w:t>
            </w:r>
          </w:p>
          <w:p w:rsidR="00313C7D" w:rsidRPr="00513EE2" w:rsidRDefault="00313C7D" w:rsidP="00313C7D">
            <w:pPr>
              <w:widowControl/>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　24時</w:t>
            </w:r>
          </w:p>
        </w:tc>
        <w:tc>
          <w:tcPr>
            <w:tcW w:w="1843" w:type="dxa"/>
            <w:vMerge w:val="restart"/>
            <w:shd w:val="clear" w:color="auto" w:fill="auto"/>
            <w:tcMar>
              <w:top w:w="72" w:type="dxa"/>
              <w:left w:w="144" w:type="dxa"/>
              <w:bottom w:w="72" w:type="dxa"/>
              <w:right w:w="144" w:type="dxa"/>
            </w:tcMar>
            <w:vAlign w:val="center"/>
            <w:hideMark/>
          </w:tcPr>
          <w:p w:rsidR="00313C7D" w:rsidRPr="00513EE2" w:rsidRDefault="00AA1184" w:rsidP="00F67EE2">
            <w:pPr>
              <w:widowControl/>
              <w:spacing w:after="120"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noProof/>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-63500</wp:posOffset>
                      </wp:positionH>
                      <wp:positionV relativeFrom="paragraph">
                        <wp:posOffset>955675</wp:posOffset>
                      </wp:positionV>
                      <wp:extent cx="1104900" cy="3741420"/>
                      <wp:effectExtent l="0" t="0" r="19050" b="11430"/>
                      <wp:wrapNone/>
                      <wp:docPr id="4" name="大かっこ 4"/>
                      <wp:cNvGraphicFramePr/>
                      <a:graphic xmlns:a="http://schemas.openxmlformats.org/drawingml/2006/main">
                        <a:graphicData uri="http://schemas.microsoft.com/office/word/2010/wordprocessingShape">
                          <wps:wsp>
                            <wps:cNvSpPr/>
                            <wps:spPr>
                              <a:xfrm>
                                <a:off x="0" y="0"/>
                                <a:ext cx="1104900" cy="374142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012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pt;margin-top:75.25pt;width:87pt;height:29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" adj="2187" strokecolor="black [3213]" strokeweight=".5pt">
                      <v:stroke joinstyle="miter"/>
                    </v:shape>
                  </w:pict>
                </mc:Fallback>
              </mc:AlternateContent>
            </w:r>
            <w:r w:rsidR="00313C7D" w:rsidRPr="00513EE2">
              <w:rPr>
                <w:rFonts w:asciiTheme="minorEastAsia" w:eastAsiaTheme="minorEastAsia" w:hAnsiTheme="minorEastAsia" w:cs="Arial" w:hint="eastAsia"/>
                <w:color w:val="000000"/>
                <w:kern w:val="24"/>
                <w:szCs w:val="21"/>
              </w:rPr>
              <w:t>権利処理上の理由等により解説を付すことができない放送番組を除く全ての放送番組</w:t>
            </w:r>
          </w:p>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「権利処理上の理由等により解説を付すことができない放送番組」とは次に掲げる放送番組</w:t>
            </w:r>
          </w:p>
          <w:p w:rsidR="00313C7D" w:rsidRPr="00513EE2" w:rsidRDefault="00313C7D" w:rsidP="00F67EE2">
            <w:pPr>
              <w:pStyle w:val="af5"/>
              <w:widowControl/>
              <w:numPr>
                <w:ilvl w:val="0"/>
                <w:numId w:val="18"/>
              </w:numPr>
              <w:spacing w:before="120" w:line="240" w:lineRule="exact"/>
              <w:ind w:leftChars="0"/>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 権利処理上の理由により解説を付すことができない放送番組</w:t>
            </w:r>
          </w:p>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② ２か国語放送や副音声など２以上の音声を使用している放送番組</w:t>
            </w:r>
          </w:p>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③ ５.1ｃｈサラウンド放送番組</w:t>
            </w:r>
          </w:p>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2" w:hanging="142"/>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2027年度までに対象の放送番組の15％以上（※</w:t>
            </w:r>
            <w:r w:rsidR="00F67EE2" w:rsidRPr="00513EE2">
              <w:rPr>
                <w:rFonts w:asciiTheme="minorEastAsia" w:eastAsiaTheme="minorEastAsia" w:hAnsiTheme="minorEastAsia" w:hint="eastAsia"/>
                <w:color w:val="000000"/>
                <w:kern w:val="24"/>
                <w:szCs w:val="21"/>
              </w:rPr>
              <w:t>４</w:t>
            </w:r>
            <w:r w:rsidRPr="00513EE2">
              <w:rPr>
                <w:rFonts w:asciiTheme="minorEastAsia" w:eastAsiaTheme="minorEastAsia" w:hAnsiTheme="minorEastAsia" w:hint="eastAsia"/>
                <w:color w:val="000000"/>
                <w:kern w:val="24"/>
                <w:szCs w:val="21"/>
              </w:rPr>
              <w:t>）に解説付与</w:t>
            </w:r>
          </w:p>
        </w:tc>
        <w:tc>
          <w:tcPr>
            <w:tcW w:w="1848"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教育放送については、2027年度までに対象の放送番組の20％以上（※</w:t>
            </w:r>
            <w:r w:rsidR="00F67EE2" w:rsidRPr="00513EE2">
              <w:rPr>
                <w:rFonts w:asciiTheme="minorEastAsia" w:eastAsiaTheme="minorEastAsia" w:hAnsiTheme="minorEastAsia" w:hint="eastAsia"/>
                <w:color w:val="000000"/>
                <w:kern w:val="24"/>
                <w:szCs w:val="21"/>
              </w:rPr>
              <w:t>５</w:t>
            </w:r>
            <w:r w:rsidRPr="00513EE2">
              <w:rPr>
                <w:rFonts w:asciiTheme="minorEastAsia" w:eastAsiaTheme="minorEastAsia" w:hAnsiTheme="minorEastAsia" w:hint="eastAsia"/>
                <w:color w:val="000000"/>
                <w:kern w:val="24"/>
                <w:szCs w:val="21"/>
              </w:rPr>
              <w:t>）に解説付与</w:t>
            </w:r>
          </w:p>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放送衛星による放送については、できる限り目標に近づくよう解説付与</w:t>
            </w:r>
          </w:p>
        </w:tc>
      </w:tr>
      <w:tr w:rsidR="00F67EE2" w:rsidRPr="00513EE2" w:rsidTr="00F67EE2">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地上系民放</w:t>
            </w:r>
          </w:p>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（県域局以外）</w:t>
            </w:r>
          </w:p>
        </w:tc>
        <w:tc>
          <w:tcPr>
            <w:tcW w:w="1585"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843"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2" w:hanging="142"/>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2027年度までに対象の放送番組の15％以上（※</w:t>
            </w:r>
            <w:r w:rsidR="00F67EE2" w:rsidRPr="00513EE2">
              <w:rPr>
                <w:rFonts w:asciiTheme="minorEastAsia" w:eastAsiaTheme="minorEastAsia" w:hAnsiTheme="minorEastAsia" w:hint="eastAsia"/>
                <w:color w:val="000000"/>
                <w:kern w:val="24"/>
                <w:szCs w:val="21"/>
              </w:rPr>
              <w:t>４</w:t>
            </w:r>
            <w:r w:rsidRPr="00513EE2">
              <w:rPr>
                <w:rFonts w:asciiTheme="minorEastAsia" w:eastAsiaTheme="minorEastAsia" w:hAnsiTheme="minorEastAsia" w:hint="eastAsia"/>
                <w:color w:val="000000"/>
                <w:kern w:val="24"/>
                <w:szCs w:val="21"/>
              </w:rPr>
              <w:t>）に解説付与</w:t>
            </w:r>
          </w:p>
        </w:tc>
        <w:tc>
          <w:tcPr>
            <w:tcW w:w="1848" w:type="dxa"/>
            <w:tcBorders>
              <w:bottom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rPr>
                <w:rFonts w:asciiTheme="minorEastAsia" w:eastAsiaTheme="minorEastAsia" w:hAnsiTheme="minorEastAsia" w:cs="Arial"/>
                <w:kern w:val="0"/>
                <w:szCs w:val="21"/>
              </w:rPr>
            </w:pPr>
          </w:p>
        </w:tc>
      </w:tr>
      <w:tr w:rsidR="00F67EE2" w:rsidRPr="00513EE2" w:rsidTr="00F67EE2">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（県域局）</w:t>
            </w:r>
          </w:p>
        </w:tc>
        <w:tc>
          <w:tcPr>
            <w:tcW w:w="1585"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843"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2" w:hanging="142"/>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2027年度までに対象の放送番組の10</w:t>
            </w:r>
            <w:r w:rsidRPr="00513EE2">
              <w:rPr>
                <w:rFonts w:asciiTheme="minorEastAsia" w:eastAsiaTheme="minorEastAsia" w:hAnsiTheme="minorEastAsia" w:hint="eastAsia"/>
                <w:color w:val="000000"/>
                <w:kern w:val="24"/>
                <w:szCs w:val="21"/>
              </w:rPr>
              <w:t>％以上</w:t>
            </w:r>
            <w:r w:rsidRPr="00513EE2">
              <w:rPr>
                <w:rFonts w:asciiTheme="minorEastAsia" w:eastAsiaTheme="minorEastAsia" w:hAnsiTheme="minorEastAsia" w:cs="Arial" w:hint="eastAsia"/>
                <w:color w:val="000000"/>
                <w:kern w:val="24"/>
                <w:szCs w:val="21"/>
              </w:rPr>
              <w:t>に解</w:t>
            </w:r>
            <w:bookmarkStart w:id="1" w:name="_GoBack"/>
            <w:bookmarkEnd w:id="1"/>
            <w:r w:rsidRPr="00513EE2">
              <w:rPr>
                <w:rFonts w:asciiTheme="minorEastAsia" w:eastAsiaTheme="minorEastAsia" w:hAnsiTheme="minorEastAsia" w:cs="Arial" w:hint="eastAsia"/>
                <w:color w:val="000000"/>
                <w:kern w:val="24"/>
                <w:szCs w:val="21"/>
              </w:rPr>
              <w:t>説付与に努める</w:t>
            </w:r>
          </w:p>
        </w:tc>
        <w:tc>
          <w:tcPr>
            <w:tcW w:w="1848" w:type="dxa"/>
            <w:tcBorders>
              <w:top w:val="dashed" w:sz="4" w:space="0" w:color="000000"/>
            </w:tcBorders>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4" w:hanging="144"/>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独立U局については、できる限り多くの番組に解説付与</w:t>
            </w:r>
          </w:p>
        </w:tc>
      </w:tr>
      <w:tr w:rsidR="00F67EE2" w:rsidRPr="00513EE2" w:rsidTr="00F67EE2">
        <w:trPr>
          <w:trHeight w:val="1054"/>
        </w:trPr>
        <w:tc>
          <w:tcPr>
            <w:tcW w:w="151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放送衛星による放送</w:t>
            </w:r>
          </w:p>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（NHKの放送を除く） </w:t>
            </w:r>
          </w:p>
        </w:tc>
        <w:tc>
          <w:tcPr>
            <w:tcW w:w="1585"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843"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70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2" w:hanging="142"/>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hint="eastAsia"/>
                <w:color w:val="000000"/>
                <w:kern w:val="24"/>
                <w:szCs w:val="21"/>
              </w:rPr>
              <w:t>・　2027年度までに対象の放送番組の</w:t>
            </w:r>
            <w:r w:rsidRPr="00513EE2">
              <w:rPr>
                <w:rFonts w:asciiTheme="minorEastAsia" w:eastAsiaTheme="minorEastAsia" w:hAnsiTheme="minorEastAsia" w:cs="Arial" w:hint="eastAsia"/>
                <w:color w:val="000000"/>
                <w:kern w:val="24"/>
                <w:szCs w:val="21"/>
              </w:rPr>
              <w:t>5</w:t>
            </w:r>
            <w:r w:rsidRPr="00513EE2">
              <w:rPr>
                <w:rFonts w:asciiTheme="minorEastAsia" w:eastAsiaTheme="minorEastAsia" w:hAnsiTheme="minorEastAsia" w:hint="eastAsia"/>
                <w:color w:val="000000"/>
                <w:kern w:val="24"/>
                <w:szCs w:val="21"/>
              </w:rPr>
              <w:t>％以上に解説付与に努める</w:t>
            </w:r>
          </w:p>
        </w:tc>
        <w:tc>
          <w:tcPr>
            <w:tcW w:w="1848"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4" w:hanging="144"/>
              <w:jc w:val="left"/>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2000年度に放送を開始した総合放送を行う事業者以外の放送事業者については、できる限り目標に近づくよう解説付与</w:t>
            </w:r>
          </w:p>
        </w:tc>
      </w:tr>
      <w:tr w:rsidR="00F67EE2" w:rsidRPr="00513EE2" w:rsidTr="00F67EE2">
        <w:trPr>
          <w:trHeight w:val="819"/>
        </w:trPr>
        <w:tc>
          <w:tcPr>
            <w:tcW w:w="151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通信衛星による放送</w:t>
            </w:r>
          </w:p>
          <w:p w:rsidR="00313C7D" w:rsidRPr="00513EE2" w:rsidRDefault="00313C7D" w:rsidP="00F67EE2">
            <w:pPr>
              <w:widowControl/>
              <w:spacing w:line="240" w:lineRule="exact"/>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xml:space="preserve">有線テレビジョン放送 </w:t>
            </w:r>
          </w:p>
        </w:tc>
        <w:tc>
          <w:tcPr>
            <w:tcW w:w="1585"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843" w:type="dxa"/>
            <w:vMerge/>
            <w:shd w:val="clear" w:color="auto" w:fill="auto"/>
            <w:vAlign w:val="center"/>
            <w:hideMark/>
          </w:tcPr>
          <w:p w:rsidR="00313C7D" w:rsidRPr="00513EE2" w:rsidRDefault="00313C7D" w:rsidP="00313C7D">
            <w:pPr>
              <w:widowControl/>
              <w:jc w:val="left"/>
              <w:rPr>
                <w:rFonts w:asciiTheme="minorEastAsia" w:eastAsiaTheme="minorEastAsia" w:hAnsiTheme="minorEastAsia" w:cs="Arial"/>
                <w:kern w:val="0"/>
                <w:szCs w:val="21"/>
              </w:rPr>
            </w:pPr>
          </w:p>
        </w:tc>
        <w:tc>
          <w:tcPr>
            <w:tcW w:w="1701" w:type="dxa"/>
            <w:shd w:val="clear" w:color="auto" w:fill="auto"/>
            <w:tcMar>
              <w:top w:w="72" w:type="dxa"/>
              <w:left w:w="144" w:type="dxa"/>
              <w:bottom w:w="72" w:type="dxa"/>
              <w:right w:w="144" w:type="dxa"/>
            </w:tcMar>
            <w:hideMark/>
          </w:tcPr>
          <w:p w:rsidR="00313C7D" w:rsidRPr="00513EE2" w:rsidRDefault="00313C7D" w:rsidP="00F67EE2">
            <w:pPr>
              <w:widowControl/>
              <w:spacing w:line="240" w:lineRule="exact"/>
              <w:ind w:left="142" w:hanging="142"/>
              <w:jc w:val="left"/>
              <w:textAlignment w:val="baseline"/>
              <w:rPr>
                <w:rFonts w:asciiTheme="minorEastAsia" w:eastAsiaTheme="minorEastAsia" w:hAnsiTheme="minorEastAsia" w:cs="Arial"/>
                <w:kern w:val="0"/>
                <w:szCs w:val="21"/>
              </w:rPr>
            </w:pPr>
            <w:r w:rsidRPr="00513EE2">
              <w:rPr>
                <w:rFonts w:asciiTheme="minorEastAsia" w:eastAsiaTheme="minorEastAsia" w:hAnsiTheme="minorEastAsia" w:cs="Arial" w:hint="eastAsia"/>
                <w:color w:val="000000"/>
                <w:kern w:val="24"/>
                <w:szCs w:val="21"/>
              </w:rPr>
              <w:t>・　当面は、できる限り多くの放送番組に解説付与</w:t>
            </w:r>
          </w:p>
        </w:tc>
        <w:tc>
          <w:tcPr>
            <w:tcW w:w="1848" w:type="dxa"/>
            <w:shd w:val="clear" w:color="auto" w:fill="auto"/>
            <w:tcMar>
              <w:top w:w="72" w:type="dxa"/>
              <w:left w:w="144" w:type="dxa"/>
              <w:bottom w:w="72" w:type="dxa"/>
              <w:right w:w="144" w:type="dxa"/>
            </w:tcMar>
            <w:hideMark/>
          </w:tcPr>
          <w:p w:rsidR="00313C7D" w:rsidRPr="00513EE2" w:rsidRDefault="00313C7D" w:rsidP="00313C7D">
            <w:pPr>
              <w:widowControl/>
              <w:jc w:val="left"/>
              <w:rPr>
                <w:rFonts w:asciiTheme="minorEastAsia" w:eastAsiaTheme="minorEastAsia" w:hAnsiTheme="minorEastAsia" w:cs="Arial"/>
                <w:kern w:val="0"/>
                <w:szCs w:val="21"/>
              </w:rPr>
            </w:pPr>
          </w:p>
        </w:tc>
      </w:tr>
    </w:tbl>
    <w:p w:rsidR="00F67EE2" w:rsidRPr="00513EE2" w:rsidRDefault="00F67EE2" w:rsidP="00F67EE2">
      <w:pPr>
        <w:spacing w:line="0" w:lineRule="atLeast"/>
        <w:ind w:left="420" w:hangingChars="200" w:hanging="420"/>
        <w:rPr>
          <w:rFonts w:asciiTheme="minorEastAsia" w:eastAsiaTheme="minorEastAsia" w:hAnsiTheme="minorEastAsia"/>
          <w:szCs w:val="21"/>
        </w:rPr>
      </w:pPr>
      <w:r w:rsidRPr="00513EE2">
        <w:rPr>
          <w:rFonts w:asciiTheme="minorEastAsia" w:eastAsiaTheme="minorEastAsia" w:hAnsiTheme="minorEastAsia" w:hint="eastAsia"/>
          <w:szCs w:val="21"/>
        </w:rPr>
        <w:t>※３　大規模災害時等にチャイム音とともに緊急・臨時に文字スーパーを送出する場合、できる限り読み上げる等により音声で伝えるよう努めるものとする</w:t>
      </w:r>
    </w:p>
    <w:p w:rsidR="00F67EE2" w:rsidRPr="00513EE2" w:rsidRDefault="00F67EE2" w:rsidP="00F67EE2">
      <w:pPr>
        <w:spacing w:line="0" w:lineRule="atLeas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※４　2022年度までに対象の放送番組の13.5％以上に解説付与</w:t>
      </w:r>
    </w:p>
    <w:p w:rsidR="00F67EE2" w:rsidRPr="00513EE2" w:rsidRDefault="00F67EE2" w:rsidP="00F67EE2">
      <w:pPr>
        <w:spacing w:line="0" w:lineRule="atLeast"/>
        <w:ind w:left="210" w:hangingChars="100" w:hanging="210"/>
        <w:rPr>
          <w:rFonts w:asciiTheme="minorEastAsia" w:eastAsiaTheme="minorEastAsia" w:hAnsiTheme="minorEastAsia"/>
          <w:szCs w:val="21"/>
        </w:rPr>
      </w:pPr>
      <w:r w:rsidRPr="00513EE2">
        <w:rPr>
          <w:rFonts w:asciiTheme="minorEastAsia" w:eastAsiaTheme="minorEastAsia" w:hAnsiTheme="minorEastAsia" w:hint="eastAsia"/>
          <w:szCs w:val="21"/>
        </w:rPr>
        <w:t>※５  2022年度までに対象の放送番組の19％以上に解説付与</w:t>
      </w:r>
    </w:p>
    <w:p w:rsidR="00F67EE2" w:rsidRPr="00513EE2" w:rsidRDefault="00F67EE2" w:rsidP="00F67EE2">
      <w:pPr>
        <w:spacing w:line="0" w:lineRule="atLeast"/>
        <w:ind w:left="210" w:hangingChars="100" w:hanging="210"/>
        <w:rPr>
          <w:rFonts w:asciiTheme="minorEastAsia" w:eastAsiaTheme="minorEastAsia" w:hAnsiTheme="minorEastAsia"/>
          <w:szCs w:val="21"/>
        </w:rPr>
      </w:pPr>
    </w:p>
    <w:p w:rsidR="00F67EE2" w:rsidRPr="00513EE2" w:rsidRDefault="00F67EE2" w:rsidP="00F67EE2">
      <w:pPr>
        <w:spacing w:line="0" w:lineRule="atLeast"/>
        <w:ind w:left="210" w:hangingChars="100" w:hanging="210"/>
        <w:rPr>
          <w:rFonts w:asciiTheme="minorEastAsia" w:eastAsiaTheme="minorEastAsia" w:hAnsiTheme="minorEastAsia"/>
          <w:szCs w:val="21"/>
        </w:rPr>
      </w:pPr>
    </w:p>
    <w:p w:rsidR="00736C08" w:rsidRPr="00513EE2" w:rsidRDefault="00736C08" w:rsidP="00736C08">
      <w:pPr>
        <w:spacing w:line="0" w:lineRule="atLeast"/>
        <w:rPr>
          <w:rFonts w:asciiTheme="minorEastAsia" w:eastAsiaTheme="minorEastAsia" w:hAnsiTheme="minorEastAsia"/>
          <w:szCs w:val="21"/>
        </w:rPr>
      </w:pPr>
      <w:r w:rsidRPr="00513EE2">
        <w:rPr>
          <w:rFonts w:asciiTheme="minorEastAsia" w:eastAsiaTheme="minorEastAsia" w:hAnsiTheme="minorEastAsia" w:hint="eastAsia"/>
          <w:szCs w:val="21"/>
        </w:rPr>
        <w:t>３　手話放送</w:t>
      </w:r>
    </w:p>
    <w:p w:rsidR="00736C08" w:rsidRPr="00513EE2" w:rsidRDefault="00F67EE2" w:rsidP="00736C08">
      <w:pPr>
        <w:spacing w:line="0" w:lineRule="atLeast"/>
        <w:ind w:leftChars="100" w:left="210" w:firstLineChars="100" w:firstLine="210"/>
        <w:rPr>
          <w:rFonts w:asciiTheme="minorEastAsia" w:eastAsiaTheme="minorEastAsia" w:hAnsiTheme="minorEastAsia"/>
          <w:sz w:val="24"/>
        </w:rPr>
      </w:pPr>
      <w:r w:rsidRPr="00513EE2">
        <w:rPr>
          <w:rFonts w:asciiTheme="minorEastAsia" w:eastAsiaTheme="minorEastAsia" w:hAnsiTheme="minorEastAsia" w:hint="eastAsia"/>
          <w:szCs w:val="21"/>
        </w:rPr>
        <w:t>NHK（放送衛星による放送を除く）及び地上系民放（県域局を除く）については、 2027年度までに平均15分／週以上に手話付与。</w:t>
      </w:r>
    </w:p>
    <w:sectPr w:rsidR="00736C08" w:rsidRPr="00513EE2" w:rsidSect="0039002E">
      <w:footerReference w:type="even" r:id="rId8"/>
      <w:pgSz w:w="11906" w:h="16838" w:code="9"/>
      <w:pgMar w:top="817" w:right="1701" w:bottom="1259" w:left="1701" w:header="851" w:footer="567" w:gutter="0"/>
      <w:pgNumType w:start="0"/>
      <w:cols w:space="425"/>
      <w:titlePg/>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4B" w:rsidRDefault="006A6D4B">
      <w:r>
        <w:separator/>
      </w:r>
    </w:p>
  </w:footnote>
  <w:footnote w:type="continuationSeparator" w:id="0">
    <w:p w:rsidR="006A6D4B" w:rsidRDefault="006A6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37B6C"/>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62D2"/>
    <w:rsid w:val="00846F5B"/>
    <w:rsid w:val="008501A4"/>
    <w:rsid w:val="00850E50"/>
    <w:rsid w:val="00851511"/>
    <w:rsid w:val="00851A00"/>
    <w:rsid w:val="00853985"/>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5E05-59B8-44A2-A5B5-CAB29158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2018-09-28T01:01:00Z</dcterms:created>
  <dcterms:modified xsi:type="dcterms:W3CDTF">2018-09-28T01:01:00Z</dcterms:modified>
</cp:coreProperties>
</file>