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rsidR="005A231A" w:rsidRPr="005A231A" w:rsidRDefault="005A231A" w:rsidP="005A231A">
      <w:pPr>
        <w:pStyle w:val="a3"/>
      </w:pPr>
      <w:r w:rsidRPr="00B22D50">
        <w:rPr>
          <w:rFonts w:asciiTheme="majorEastAsia" w:eastAsiaTheme="majorEastAsia" w:hAnsiTheme="majorEastAsia" w:hint="eastAsia"/>
        </w:rPr>
        <w:t>記載事項の説明</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753</w:t>
      </w:r>
      <w:r>
        <w:rPr>
          <w:rFonts w:hint="eastAsia"/>
        </w:rPr>
        <w:t>条</w:t>
      </w:r>
      <w:r w:rsidR="00D60D72">
        <w:rPr>
          <w:rFonts w:hint="eastAsia"/>
        </w:rPr>
        <w:t>第１</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w:t>
      </w:r>
      <w:r w:rsidR="00445E8B">
        <w:rPr>
          <w:rFonts w:hint="eastAsia"/>
        </w:rPr>
        <w:t>法第</w:t>
      </w:r>
      <w:r w:rsidR="00445E8B">
        <w:t>349</w:t>
      </w:r>
      <w:r w:rsidR="00445E8B">
        <w:rPr>
          <w:rFonts w:hint="eastAsia"/>
        </w:rPr>
        <w:t>条の４、</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Pr>
          <w:rFonts w:hint="eastAsia"/>
        </w:rPr>
        <w:t>、</w:t>
      </w:r>
      <w:r w:rsidRPr="00CE05C3">
        <w:rPr>
          <w:rFonts w:hint="eastAsia"/>
        </w:rPr>
        <w:t>法附則第</w:t>
      </w:r>
      <w:r w:rsidRPr="00CE05C3">
        <w:t>16</w:t>
      </w:r>
      <w:r w:rsidRPr="00CE05C3">
        <w:rPr>
          <w:rFonts w:hint="eastAsia"/>
        </w:rPr>
        <w:t>条の</w:t>
      </w:r>
      <w:r w:rsidR="00D60D72" w:rsidRPr="00CE05C3">
        <w:rPr>
          <w:rFonts w:hint="eastAsia"/>
        </w:rPr>
        <w:t>２</w:t>
      </w:r>
      <w:r w:rsidRPr="00CE05C3">
        <w:rPr>
          <w:rFonts w:hint="eastAsia"/>
        </w:rPr>
        <w:t>、</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w:t>
      </w:r>
      <w:bookmarkStart w:id="0" w:name="_GoBack"/>
      <w:bookmarkEnd w:id="0"/>
      <w:r w:rsidRPr="00B22D50">
        <w:rPr>
          <w:rFonts w:asciiTheme="majorEastAsia" w:eastAsiaTheme="majorEastAsia" w:hAnsiTheme="majorEastAsia" w:hint="eastAsia"/>
        </w:rPr>
        <w:t>ののうち課税標準の特例規定の適用を受けるもの</w:t>
      </w:r>
    </w:p>
    <w:p w:rsidR="005A231A" w:rsidRDefault="005A231A" w:rsidP="005A231A">
      <w:pPr>
        <w:pStyle w:val="a3"/>
      </w:pPr>
      <w:r w:rsidRPr="00B22D50">
        <w:rPr>
          <w:rFonts w:asciiTheme="majorEastAsia" w:eastAsiaTheme="majorEastAsia" w:hAnsiTheme="majorEastAsia"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536E60">
      <w:pgSz w:w="16838" w:h="11906" w:orient="landscape"/>
      <w:pgMar w:top="1701" w:right="1985" w:bottom="1701" w:left="1701" w:header="851" w:footer="992" w:gutter="0"/>
      <w:pgNumType w:start="313"/>
      <w:cols w:space="425"/>
      <w:docGrid w:type="linesAndChars" w:linePitch="340" w:charSpace="1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B1" w:rsidRDefault="008527B1" w:rsidP="00FD0FA3">
      <w:r>
        <w:separator/>
      </w:r>
    </w:p>
  </w:endnote>
  <w:endnote w:type="continuationSeparator" w:id="0">
    <w:p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B1" w:rsidRDefault="008527B1" w:rsidP="00FD0FA3">
      <w:r>
        <w:separator/>
      </w:r>
    </w:p>
  </w:footnote>
  <w:footnote w:type="continuationSeparator" w:id="0">
    <w:p w:rsidR="008527B1" w:rsidRDefault="008527B1" w:rsidP="00FD0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CE6"/>
    <w:rsid w:val="000874D9"/>
    <w:rsid w:val="000C3054"/>
    <w:rsid w:val="00134BC9"/>
    <w:rsid w:val="00147156"/>
    <w:rsid w:val="0018072D"/>
    <w:rsid w:val="0021645E"/>
    <w:rsid w:val="00384FF4"/>
    <w:rsid w:val="00445E8B"/>
    <w:rsid w:val="00464A18"/>
    <w:rsid w:val="00536E60"/>
    <w:rsid w:val="005A231A"/>
    <w:rsid w:val="00607857"/>
    <w:rsid w:val="00621378"/>
    <w:rsid w:val="006240B5"/>
    <w:rsid w:val="00630676"/>
    <w:rsid w:val="007E3B3D"/>
    <w:rsid w:val="007E4319"/>
    <w:rsid w:val="008527B1"/>
    <w:rsid w:val="008C5CE6"/>
    <w:rsid w:val="008D1597"/>
    <w:rsid w:val="009258F9"/>
    <w:rsid w:val="00971F42"/>
    <w:rsid w:val="009A2B8A"/>
    <w:rsid w:val="00AA65E6"/>
    <w:rsid w:val="00B14CBB"/>
    <w:rsid w:val="00B22D50"/>
    <w:rsid w:val="00B75520"/>
    <w:rsid w:val="00BD3324"/>
    <w:rsid w:val="00BD79D9"/>
    <w:rsid w:val="00CE05C3"/>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Administrator</cp:lastModifiedBy>
  <cp:revision>17</cp:revision>
  <cp:lastPrinted>2017-03-16T05:49:00Z</cp:lastPrinted>
  <dcterms:created xsi:type="dcterms:W3CDTF">2015-10-15T05:34:00Z</dcterms:created>
  <dcterms:modified xsi:type="dcterms:W3CDTF">2019-05-24T08:36:00Z</dcterms:modified>
</cp:coreProperties>
</file>