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9F" w:rsidRDefault="00C5513A" w:rsidP="00C41237">
      <w:pPr>
        <w:kinsoku w:val="0"/>
        <w:overflowPunct w:val="0"/>
        <w:autoSpaceDE w:val="0"/>
        <w:autoSpaceDN w:val="0"/>
        <w:ind w:rightChars="115" w:right="276"/>
        <w:jc w:val="left"/>
        <w:rPr>
          <w:rFonts w:hAnsi="ＭＳ 明朝"/>
          <w:sz w:val="21"/>
          <w:szCs w:val="21"/>
        </w:rPr>
      </w:pPr>
      <w:bookmarkStart w:id="0" w:name="_GoBack"/>
      <w:bookmarkEnd w:id="0"/>
      <w:r>
        <w:rPr>
          <w:rFonts w:ascii="ＭＳ ゴシック" w:eastAsia="ＭＳ ゴシック" w:hAnsi="ＭＳ ゴシック" w:hint="eastAsia"/>
          <w:sz w:val="21"/>
          <w:szCs w:val="21"/>
        </w:rPr>
        <w:t>様式第８</w:t>
      </w:r>
      <w:r>
        <w:rPr>
          <w:rFonts w:hAnsi="ＭＳ 明朝" w:hint="eastAsia"/>
          <w:sz w:val="21"/>
          <w:szCs w:val="21"/>
        </w:rPr>
        <w:t>（第９条第１項、第60条の２関係）</w:t>
      </w:r>
    </w:p>
    <w:p w:rsidR="0088479F" w:rsidRDefault="00C5513A">
      <w:pPr>
        <w:kinsoku w:val="0"/>
        <w:overflowPunct w:val="0"/>
        <w:autoSpaceDE w:val="0"/>
        <w:autoSpaceDN w:val="0"/>
        <w:ind w:rightChars="115" w:right="276"/>
        <w:jc w:val="center"/>
        <w:rPr>
          <w:rFonts w:hAnsi="ＭＳ 明朝"/>
          <w:sz w:val="21"/>
          <w:szCs w:val="21"/>
        </w:rPr>
      </w:pPr>
      <w:r>
        <w:rPr>
          <w:rFonts w:hAnsi="ＭＳ 明朝" w:hint="eastAsia"/>
          <w:sz w:val="21"/>
          <w:szCs w:val="21"/>
        </w:rPr>
        <w:t>電気通信事業届出書</w:t>
      </w:r>
    </w:p>
    <w:p w:rsidR="0088479F" w:rsidRDefault="00C5513A">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rsidR="0088479F"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rsidR="0088479F" w:rsidRDefault="00C5513A">
      <w:pPr>
        <w:pStyle w:val="a5"/>
        <w:ind w:leftChars="1950" w:left="4680" w:right="276"/>
        <w:rPr>
          <w:sz w:val="21"/>
          <w:szCs w:val="21"/>
          <w:u w:val="none"/>
        </w:rPr>
      </w:pPr>
      <w:r>
        <w:rPr>
          <w:rFonts w:hint="eastAsia"/>
          <w:sz w:val="21"/>
          <w:szCs w:val="21"/>
          <w:u w:val="none"/>
        </w:rPr>
        <w:t>郵便番号</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88479F" w:rsidRDefault="00C5513A">
      <w:pPr>
        <w:pStyle w:val="a6"/>
        <w:ind w:leftChars="1950" w:left="4680"/>
        <w:rPr>
          <w:color w:val="auto"/>
          <w:sz w:val="21"/>
          <w:szCs w:val="21"/>
          <w:u w:val="none"/>
        </w:rPr>
      </w:pPr>
      <w:r>
        <w:rPr>
          <w:rFonts w:hint="eastAsia"/>
          <w:color w:val="auto"/>
          <w:sz w:val="21"/>
          <w:szCs w:val="21"/>
          <w:u w:val="none"/>
        </w:rPr>
        <w:t>住　　所</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C5513A" w:rsidRPr="00B552B5" w:rsidRDefault="00C5513A" w:rsidP="00C5513A">
      <w:pPr>
        <w:pStyle w:val="a7"/>
        <w:ind w:leftChars="1950" w:left="5730" w:hangingChars="500" w:hanging="1050"/>
        <w:rPr>
          <w:sz w:val="21"/>
          <w:szCs w:val="21"/>
          <w:u w:val="none"/>
          <w:bdr w:val="single" w:sz="4" w:space="0" w:color="auto"/>
        </w:rPr>
      </w:pPr>
      <w:r>
        <w:rPr>
          <w:rFonts w:hint="eastAsia"/>
          <w:sz w:val="21"/>
          <w:szCs w:val="21"/>
          <w:u w:val="none"/>
        </w:rPr>
        <w:t>氏　　名</w:t>
      </w:r>
      <w:r w:rsidRPr="00B552B5">
        <w:rPr>
          <w:rFonts w:hint="eastAsia"/>
          <w:sz w:val="21"/>
          <w:szCs w:val="21"/>
          <w:u w:val="none"/>
        </w:rPr>
        <w:t>（法人にあつては、名称及び代表者の氏名を記載すること</w:t>
      </w:r>
      <w:r w:rsidR="00DF4D31">
        <w:rPr>
          <w:rFonts w:hint="eastAsia"/>
          <w:sz w:val="21"/>
          <w:szCs w:val="21"/>
          <w:u w:val="none"/>
        </w:rPr>
        <w:t>。）</w:t>
      </w:r>
    </w:p>
    <w:p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4073CF" w:rsidRDefault="004073CF"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sidRPr="004073CF">
        <w:rPr>
          <w:rFonts w:hAnsi="ＭＳ 明朝" w:hint="eastAsia"/>
          <w:sz w:val="21"/>
          <w:szCs w:val="21"/>
        </w:rPr>
        <w:t>担当部署名（担当部署がある場合は、名称を記載すること。）</w:t>
      </w:r>
    </w:p>
    <w:p w:rsidR="00DC61D2" w:rsidRDefault="00DC61D2"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rsidR="0088479F" w:rsidRDefault="00C5513A"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電気通信事業法第16条第１項</w:t>
      </w:r>
      <w:r w:rsidR="00C23CF9">
        <w:rPr>
          <w:rFonts w:hAnsi="ＭＳ 明朝" w:hint="eastAsia"/>
          <w:noProof/>
          <w:sz w:val="21"/>
          <w:szCs w:val="21"/>
        </w:rPr>
        <w:t>（第</w:t>
      </w:r>
      <w:r w:rsidR="00C23CF9">
        <w:rPr>
          <w:rFonts w:hAnsi="ＭＳ 明朝"/>
          <w:noProof/>
          <w:sz w:val="21"/>
          <w:szCs w:val="21"/>
        </w:rPr>
        <w:t>165条第１項</w:t>
      </w:r>
      <w:r w:rsidR="00C23CF9">
        <w:rPr>
          <w:rFonts w:hAnsi="ＭＳ 明朝" w:hint="eastAsia"/>
          <w:noProof/>
          <w:sz w:val="21"/>
          <w:szCs w:val="21"/>
        </w:rPr>
        <w:t>）</w:t>
      </w:r>
      <w:r>
        <w:rPr>
          <w:rFonts w:hAnsi="ＭＳ 明朝" w:hint="eastAsia"/>
          <w:noProof/>
          <w:sz w:val="21"/>
          <w:szCs w:val="21"/>
        </w:rPr>
        <w:t>の規定により、電気通信事業を営む</w:t>
      </w:r>
      <w:r w:rsidR="00C23CF9">
        <w:rPr>
          <w:rFonts w:hAnsi="ＭＳ 明朝" w:hint="eastAsia"/>
          <w:noProof/>
          <w:sz w:val="21"/>
          <w:szCs w:val="21"/>
        </w:rPr>
        <w:t>（</w:t>
      </w:r>
      <w:r w:rsidR="00C23CF9">
        <w:rPr>
          <w:rFonts w:hAnsi="ＭＳ 明朝"/>
          <w:noProof/>
          <w:sz w:val="21"/>
          <w:szCs w:val="21"/>
        </w:rPr>
        <w:t>行う）</w:t>
      </w:r>
      <w:r>
        <w:rPr>
          <w:rFonts w:hAnsi="ＭＳ 明朝" w:hint="eastAsia"/>
          <w:noProof/>
          <w:sz w:val="21"/>
          <w:szCs w:val="21"/>
        </w:rPr>
        <w:t>ので、次のとおり届け出ます。</w:t>
      </w: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4073CF">
        <w:rPr>
          <w:rFonts w:hAnsi="ＭＳ 明朝" w:hint="eastAsia"/>
          <w:sz w:val="21"/>
          <w:szCs w:val="21"/>
        </w:rPr>
        <w:t>電話番号及び電子メールアドレス（担当部署がある場合は、</w:t>
      </w:r>
      <w:r w:rsidRPr="00EC6D1B">
        <w:rPr>
          <w:rFonts w:hAnsi="ＭＳ 明朝" w:hint="eastAsia"/>
          <w:sz w:val="21"/>
          <w:szCs w:val="21"/>
        </w:rPr>
        <w:t>当該担当部署に連絡のとれる電話番号及び電子メールアドレスを記載すること。）</w:t>
      </w: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4377"/>
      </w:tblGrid>
      <w:tr w:rsidR="00027DB8" w:rsidRPr="00036C0D" w:rsidTr="00B01E2B">
        <w:tc>
          <w:tcPr>
            <w:tcW w:w="4844" w:type="dxa"/>
            <w:vAlign w:val="center"/>
          </w:tcPr>
          <w:p w:rsidR="00027DB8" w:rsidRPr="00036C0D" w:rsidRDefault="00027DB8" w:rsidP="00B01E2B">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国内における代表者又は国内における代理人の氏名（法人にあつては、名称及び代表者の氏名）</w:t>
            </w:r>
          </w:p>
        </w:tc>
        <w:tc>
          <w:tcPr>
            <w:tcW w:w="4377"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B01E2B">
        <w:tc>
          <w:tcPr>
            <w:tcW w:w="4844"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4377"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B01E2B">
        <w:tc>
          <w:tcPr>
            <w:tcW w:w="4844" w:type="dxa"/>
            <w:vAlign w:val="center"/>
          </w:tcPr>
          <w:p w:rsidR="00027DB8" w:rsidRPr="00EC6D1B" w:rsidRDefault="00027DB8" w:rsidP="00F833FE">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電話番号及び電子メールアドレス（担当部署がある場合は、当該担当部署に連絡のとれる電話番号及び電子メールアドレスを記載すること。）</w:t>
            </w:r>
          </w:p>
        </w:tc>
        <w:tc>
          <w:tcPr>
            <w:tcW w:w="4377"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３</w:t>
      </w:r>
      <w:r w:rsidR="00DD4EF6" w:rsidRPr="00DD4EF6">
        <w:rPr>
          <w:rFonts w:hAnsi="ＭＳ 明朝" w:hint="eastAsia"/>
          <w:sz w:val="21"/>
          <w:szCs w:val="21"/>
        </w:rPr>
        <w:t xml:space="preserve">　業務区域</w:t>
      </w:r>
    </w:p>
    <w:p w:rsidR="00DD4EF6" w:rsidRPr="00DD4EF6" w:rsidRDefault="00DD4EF6" w:rsidP="00DD4EF6">
      <w:pPr>
        <w:tabs>
          <w:tab w:val="left" w:pos="-1620"/>
        </w:tabs>
        <w:kinsoku w:val="0"/>
        <w:overflowPunct w:val="0"/>
        <w:autoSpaceDE w:val="0"/>
        <w:autoSpaceDN w:val="0"/>
        <w:ind w:leftChars="100" w:left="450" w:hangingChars="100" w:hanging="210"/>
        <w:jc w:val="left"/>
        <w:rPr>
          <w:rFonts w:hAnsi="ＭＳ 明朝"/>
          <w:sz w:val="21"/>
          <w:szCs w:val="21"/>
        </w:rPr>
      </w:pPr>
      <w:r w:rsidRPr="00DD4EF6">
        <w:rPr>
          <w:rFonts w:hAnsi="ＭＳ 明朝" w:hint="eastAsia"/>
          <w:sz w:val="21"/>
          <w:szCs w:val="21"/>
        </w:rPr>
        <w:t>注１　下記⑴の事項を記載すること。</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２　法第117条第１項の認定を受ける場合にあつては、併せて下記⑵及び⑶の事項を記載すること。</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３　特定移動通信役務を提供する場合にあつては、併せて特定移動通信役務に係る下記⑵の事項を記載すること（ただし、２により記載した下記⑵の事項と同一となる場合は記載を要しない。）。</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４　基礎的電気通信役務又は指定電気通信役務を提供する場合であつて、これらの電気通信役務について特段の業務区域を定める場合にあつては、併せて当該電気通信役務について下記⑵及び⑶の事項を記載すること（ただし、２により記載した⑵及び⑶の事項とそれぞれ同一となる場合は記載を要しない。）。</w:t>
      </w:r>
    </w:p>
    <w:p w:rsidR="00DD4EF6" w:rsidRP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⑴　提供区域</w:t>
      </w:r>
    </w:p>
    <w:p w:rsidR="00DD4EF6" w:rsidRPr="00DD4EF6" w:rsidRDefault="00DD4EF6" w:rsidP="00DD4EF6">
      <w:pPr>
        <w:tabs>
          <w:tab w:val="left" w:pos="-1620"/>
        </w:tabs>
        <w:kinsoku w:val="0"/>
        <w:overflowPunct w:val="0"/>
        <w:autoSpaceDE w:val="0"/>
        <w:autoSpaceDN w:val="0"/>
        <w:ind w:leftChars="200" w:left="900" w:hangingChars="200" w:hanging="420"/>
        <w:jc w:val="left"/>
        <w:rPr>
          <w:rFonts w:hAnsi="ＭＳ 明朝"/>
          <w:sz w:val="21"/>
          <w:szCs w:val="21"/>
        </w:rPr>
      </w:pPr>
      <w:r w:rsidRPr="00DD4EF6">
        <w:rPr>
          <w:rFonts w:hAnsi="ＭＳ 明朝" w:hint="eastAsia"/>
          <w:sz w:val="21"/>
          <w:szCs w:val="21"/>
        </w:rPr>
        <w:t>注１　一般的に想定している利用形態により電気通信役務の提供を受けることが可能となる区域（いわゆるサービスエリア）を記載すること。</w:t>
      </w:r>
    </w:p>
    <w:p w:rsidR="00DD4EF6" w:rsidRPr="00DD4EF6" w:rsidRDefault="00DD4EF6" w:rsidP="00DD4EF6">
      <w:pPr>
        <w:tabs>
          <w:tab w:val="left" w:pos="-1620"/>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２　都道府県を単位として記載すること。全国を業務区域とする場合は全国と記載すること。</w:t>
      </w:r>
    </w:p>
    <w:p w:rsidR="00DD4EF6" w:rsidRPr="00DD4EF6" w:rsidRDefault="00DD4EF6" w:rsidP="00DD4EF6">
      <w:pPr>
        <w:tabs>
          <w:tab w:val="left" w:pos="-1620"/>
          <w:tab w:val="left" w:pos="11232"/>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lastRenderedPageBreak/>
        <w:t>３　国際電気通信役務を提供する場合</w:t>
      </w:r>
      <w:bookmarkStart w:id="1" w:name="OLE_LINK4"/>
      <w:r w:rsidRPr="00DD4EF6">
        <w:rPr>
          <w:rFonts w:hAnsi="ＭＳ 明朝" w:hint="eastAsia"/>
          <w:sz w:val="21"/>
          <w:szCs w:val="21"/>
        </w:rPr>
        <w:t>（本邦外の場所との間の通信を行うための電気通信設備を他人の通信の用に供する場合に限る。）</w:t>
      </w:r>
      <w:bookmarkEnd w:id="1"/>
      <w:r w:rsidRPr="00DD4EF6">
        <w:rPr>
          <w:rFonts w:hAnsi="ＭＳ 明朝" w:hint="eastAsia"/>
          <w:sz w:val="21"/>
          <w:szCs w:val="21"/>
        </w:rPr>
        <w:t>にあつては、取扱対地の国又はこれに準ずる地域の名称を併せて記載すること。</w:t>
      </w:r>
    </w:p>
    <w:p w:rsidR="00DD4EF6" w:rsidRP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⑵　利用者（電気通信事業者を除く。）との電気通信設備の接続に係る業務区域</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注　市町村の一部を業務区域とする場合は字名等を、都道府県市町村の全部を業務区域とする場合は当該都道府県市町村名を、都道府県の全部を業務区域とする場合は当該都道府県名を、全国を業務区域とする場合は全国と記載すること。</w:t>
      </w:r>
    </w:p>
    <w:p w:rsidR="00DD4EF6" w:rsidRPr="00DD4EF6" w:rsidRDefault="00DD4EF6" w:rsidP="00DD4EF6">
      <w:pPr>
        <w:tabs>
          <w:tab w:val="left" w:pos="-162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他の電気通信事業者との電気通信設備の接続に係る業務区域</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4389"/>
      </w:tblGrid>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電気通信事業者名</w:t>
            </w:r>
          </w:p>
        </w:tc>
        <w:tc>
          <w:tcPr>
            <w:tcW w:w="4389"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接続の場所</w:t>
            </w:r>
          </w:p>
        </w:tc>
      </w:tr>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c>
          <w:tcPr>
            <w:tcW w:w="4389"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r>
    </w:tbl>
    <w:p w:rsidR="00DD4EF6" w:rsidRPr="00DD4EF6" w:rsidRDefault="00DD4EF6" w:rsidP="00DD4EF6">
      <w:pPr>
        <w:tabs>
          <w:tab w:val="left" w:pos="-1620"/>
        </w:tabs>
        <w:kinsoku w:val="0"/>
        <w:overflowPunct w:val="0"/>
        <w:autoSpaceDE w:val="0"/>
        <w:autoSpaceDN w:val="0"/>
        <w:ind w:firstLineChars="200" w:firstLine="420"/>
        <w:jc w:val="left"/>
        <w:rPr>
          <w:rFonts w:hAnsi="ＭＳ 明朝"/>
          <w:sz w:val="21"/>
          <w:szCs w:val="21"/>
        </w:rPr>
      </w:pPr>
      <w:r w:rsidRPr="00DD4EF6">
        <w:rPr>
          <w:rFonts w:hAnsi="ＭＳ 明朝" w:hint="eastAsia"/>
          <w:sz w:val="21"/>
          <w:szCs w:val="21"/>
        </w:rPr>
        <w:t>注１　電気通信事業者ごとに行を分けて記載すること。</w:t>
      </w:r>
    </w:p>
    <w:p w:rsidR="00DD4EF6" w:rsidRPr="00DD4EF6" w:rsidRDefault="00DD4EF6" w:rsidP="00DD4EF6">
      <w:pPr>
        <w:tabs>
          <w:tab w:val="left" w:pos="0"/>
          <w:tab w:val="left" w:pos="11232"/>
        </w:tabs>
        <w:kinsoku w:val="0"/>
        <w:overflowPunct w:val="0"/>
        <w:autoSpaceDE w:val="0"/>
        <w:autoSpaceDN w:val="0"/>
        <w:ind w:leftChars="263" w:left="841" w:hangingChars="100" w:hanging="210"/>
        <w:jc w:val="left"/>
        <w:rPr>
          <w:rFonts w:hAnsi="ＭＳ 明朝"/>
          <w:sz w:val="21"/>
          <w:szCs w:val="21"/>
        </w:rPr>
      </w:pPr>
      <w:r w:rsidRPr="00DD4EF6">
        <w:rPr>
          <w:rFonts w:hAnsi="ＭＳ 明朝" w:hint="eastAsia"/>
          <w:sz w:val="21"/>
          <w:szCs w:val="21"/>
        </w:rPr>
        <w:t>２　⑵において全国を業務区域とする場合は、⑶の記載を要しない。⑵において都道府県の全部を業務区域とする場合は、当該都道府県内における⑶の記載を要しない。</w:t>
      </w:r>
    </w:p>
    <w:p w:rsidR="00DD4EF6" w:rsidRP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DD4EF6" w:rsidRPr="00DD4EF6" w:rsidRDefault="00024A0E" w:rsidP="00DD4EF6">
      <w:pPr>
        <w:tabs>
          <w:tab w:val="left" w:pos="0"/>
        </w:tabs>
        <w:kinsoku w:val="0"/>
        <w:overflowPunct w:val="0"/>
        <w:autoSpaceDE w:val="0"/>
        <w:autoSpaceDN w:val="0"/>
        <w:ind w:left="210" w:rightChars="-155" w:right="-372" w:hangingChars="100" w:hanging="210"/>
        <w:jc w:val="left"/>
        <w:rPr>
          <w:rFonts w:hAnsi="ＭＳ 明朝"/>
          <w:sz w:val="21"/>
          <w:szCs w:val="21"/>
        </w:rPr>
      </w:pPr>
      <w:r>
        <w:rPr>
          <w:rFonts w:hAnsi="ＭＳ 明朝" w:hint="eastAsia"/>
          <w:sz w:val="21"/>
          <w:szCs w:val="21"/>
        </w:rPr>
        <w:t>４</w:t>
      </w:r>
      <w:r w:rsidR="00DD4EF6" w:rsidRPr="00DD4EF6">
        <w:rPr>
          <w:rFonts w:hAnsi="ＭＳ 明朝" w:hint="eastAsia"/>
          <w:sz w:val="21"/>
          <w:szCs w:val="21"/>
        </w:rPr>
        <w:t xml:space="preserve">　電気通信設備の概要</w:t>
      </w:r>
      <w:r w:rsidR="00DD4EF6" w:rsidRPr="00DD4EF6">
        <w:rPr>
          <w:rFonts w:hAnsi="ＭＳ 明朝" w:hint="eastAsia"/>
          <w:bCs/>
          <w:sz w:val="21"/>
          <w:szCs w:val="21"/>
        </w:rPr>
        <w:t>（電気通信事業法第44条第１項の事業用電気通信設備を設置する場合に限る。）</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⑴　端末系伝送路設備に関する事項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⑵　中継系伝送路設備に関する事項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9"/>
        <w:gridCol w:w="3065"/>
        <w:gridCol w:w="3148"/>
      </w:tblGrid>
      <w:tr w:rsidR="00DD4EF6" w:rsidRPr="00DD4EF6" w:rsidTr="00B67EB8">
        <w:trPr>
          <w:cantSplit/>
        </w:trPr>
        <w:tc>
          <w:tcPr>
            <w:tcW w:w="6334" w:type="dxa"/>
            <w:gridSpan w:val="2"/>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設置の区間</w:t>
            </w:r>
          </w:p>
        </w:tc>
        <w:tc>
          <w:tcPr>
            <w:tcW w:w="3148" w:type="dxa"/>
            <w:vMerge w:val="restart"/>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rPr>
          <w:cantSplit/>
          <w:trHeight w:val="360"/>
        </w:trPr>
        <w:tc>
          <w:tcPr>
            <w:tcW w:w="3269"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始点</w:t>
            </w:r>
          </w:p>
        </w:tc>
        <w:tc>
          <w:tcPr>
            <w:tcW w:w="3065"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終点</w:t>
            </w:r>
          </w:p>
        </w:tc>
        <w:tc>
          <w:tcPr>
            <w:tcW w:w="3148" w:type="dxa"/>
            <w:vMerge/>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p>
        </w:tc>
      </w:tr>
      <w:tr w:rsidR="00DD4EF6" w:rsidRPr="00DD4EF6" w:rsidTr="00B67EB8">
        <w:tc>
          <w:tcPr>
            <w:tcW w:w="326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065"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4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伝送路設備以外の電気通信設備（事業用電気通信設備に限る。）に関する事項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4B4462">
      <w:pPr>
        <w:kinsoku w:val="0"/>
        <w:overflowPunct w:val="0"/>
        <w:autoSpaceDE w:val="0"/>
        <w:autoSpaceDN w:val="0"/>
        <w:ind w:leftChars="200" w:left="900" w:hangingChars="200" w:hanging="420"/>
        <w:jc w:val="left"/>
        <w:rPr>
          <w:rFonts w:hAnsi="ＭＳ 明朝"/>
          <w:sz w:val="21"/>
          <w:szCs w:val="21"/>
        </w:rPr>
      </w:pPr>
      <w:r w:rsidRPr="00DD4EF6">
        <w:rPr>
          <w:rFonts w:hAnsi="ＭＳ 明朝" w:hint="eastAsia"/>
          <w:sz w:val="21"/>
          <w:szCs w:val="21"/>
        </w:rPr>
        <w:t>注１　「端末系伝送路設備」及び「中継系伝送路設備」の定義は、それぞれ第３条第１号及び第２号に定めるところによる。</w:t>
      </w:r>
    </w:p>
    <w:p w:rsidR="00DD4EF6" w:rsidRPr="00DD4EF6" w:rsidRDefault="00DD4EF6" w:rsidP="004B4462">
      <w:pPr>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２　端末系伝送路設備の設置の区域は、都道府県市町村（特別区にあつては区、地方自治法第252条の19</w:t>
      </w:r>
      <w:r w:rsidR="004B4462">
        <w:rPr>
          <w:rFonts w:hAnsi="ＭＳ 明朝" w:hint="eastAsia"/>
          <w:sz w:val="21"/>
          <w:szCs w:val="21"/>
        </w:rPr>
        <w:t>第１項の指定都市</w:t>
      </w:r>
      <w:r w:rsidRPr="00DD4EF6">
        <w:rPr>
          <w:rFonts w:hAnsi="ＭＳ 明朝" w:hint="eastAsia"/>
          <w:sz w:val="21"/>
          <w:szCs w:val="21"/>
        </w:rPr>
        <w:t>にあつては区又は総合区）を単位として記載すること。</w:t>
      </w:r>
    </w:p>
    <w:p w:rsidR="00DD4EF6" w:rsidRPr="00DD4EF6" w:rsidRDefault="00DD4EF6" w:rsidP="004B4462">
      <w:pPr>
        <w:kinsoku w:val="0"/>
        <w:overflowPunct w:val="0"/>
        <w:autoSpaceDE w:val="0"/>
        <w:autoSpaceDN w:val="0"/>
        <w:ind w:leftChars="300" w:left="720"/>
        <w:jc w:val="left"/>
        <w:rPr>
          <w:rFonts w:hAnsi="ＭＳ 明朝"/>
          <w:sz w:val="21"/>
          <w:szCs w:val="21"/>
        </w:rPr>
      </w:pPr>
      <w:r w:rsidRPr="00DD4EF6">
        <w:rPr>
          <w:rFonts w:hAnsi="ＭＳ 明朝" w:hint="eastAsia"/>
          <w:sz w:val="21"/>
          <w:szCs w:val="21"/>
        </w:rPr>
        <w:t>３　中継系伝送路設備の設置の区間は、その始点及び終点の所在地を記載すること。</w:t>
      </w:r>
    </w:p>
    <w:p w:rsidR="00DD4EF6" w:rsidRPr="00DD4EF6" w:rsidRDefault="00DD4EF6" w:rsidP="004B4462">
      <w:pPr>
        <w:kinsoku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４　伝送路設備の種類は、当該設備が有線電気通信設備の場合は「平衡対ケーブル」、「同軸ケーブル」、「光ファイバケーブ</w:t>
      </w:r>
      <w:r>
        <w:rPr>
          <w:rFonts w:hAnsi="ＭＳ 明朝" w:hint="eastAsia"/>
          <w:sz w:val="21"/>
          <w:szCs w:val="21"/>
        </w:rPr>
        <w:t>ル」等の種別を、無線設備の場合は予定する周波数</w:t>
      </w:r>
      <w:r w:rsidRPr="00DD4EF6">
        <w:rPr>
          <w:rFonts w:hAnsi="ＭＳ 明朝" w:hint="eastAsia"/>
          <w:sz w:val="21"/>
          <w:szCs w:val="21"/>
        </w:rPr>
        <w:t>を記載すること。</w:t>
      </w:r>
    </w:p>
    <w:p w:rsidR="00DD4EF6" w:rsidRPr="00DD4EF6" w:rsidRDefault="00DD4EF6" w:rsidP="004B4462">
      <w:pPr>
        <w:kinsoku w:val="0"/>
        <w:overflowPunct w:val="0"/>
        <w:autoSpaceDE w:val="0"/>
        <w:autoSpaceDN w:val="0"/>
        <w:ind w:leftChars="400" w:left="960" w:firstLineChars="100" w:firstLine="210"/>
        <w:jc w:val="left"/>
        <w:rPr>
          <w:rFonts w:hAnsi="ＭＳ 明朝"/>
          <w:sz w:val="21"/>
          <w:szCs w:val="21"/>
        </w:rPr>
      </w:pPr>
      <w:r w:rsidRPr="00DD4EF6">
        <w:rPr>
          <w:rFonts w:hAnsi="ＭＳ 明朝" w:hint="eastAsia"/>
          <w:sz w:val="21"/>
          <w:szCs w:val="21"/>
        </w:rPr>
        <w:t>当該設備が無線設備の場合であって、次に掲げる場合に該当するときは、併せてその旨を記載すること。</w:t>
      </w:r>
    </w:p>
    <w:p w:rsidR="00DD4EF6" w:rsidRPr="00DD4EF6" w:rsidRDefault="00DD4EF6" w:rsidP="00B42B74">
      <w:pPr>
        <w:kinsoku w:val="0"/>
        <w:overflowPunct w:val="0"/>
        <w:autoSpaceDE w:val="0"/>
        <w:autoSpaceDN w:val="0"/>
        <w:ind w:leftChars="400" w:left="1170" w:hangingChars="100" w:hanging="210"/>
        <w:jc w:val="left"/>
        <w:rPr>
          <w:rFonts w:hAnsi="ＭＳ 明朝"/>
          <w:sz w:val="21"/>
          <w:szCs w:val="21"/>
        </w:rPr>
      </w:pPr>
      <w:r w:rsidRPr="00DD4EF6">
        <w:rPr>
          <w:rFonts w:hAnsi="ＭＳ 明朝" w:hint="eastAsia"/>
          <w:sz w:val="21"/>
          <w:szCs w:val="21"/>
        </w:rPr>
        <w:t>⑴　予定する</w:t>
      </w:r>
      <w:r>
        <w:rPr>
          <w:rFonts w:hAnsi="ＭＳ 明朝" w:hint="eastAsia"/>
          <w:sz w:val="21"/>
          <w:szCs w:val="21"/>
        </w:rPr>
        <w:t>周波数</w:t>
      </w:r>
      <w:r w:rsidRPr="00DD4EF6">
        <w:rPr>
          <w:rFonts w:hAnsi="ＭＳ 明朝" w:hint="eastAsia"/>
          <w:sz w:val="21"/>
          <w:szCs w:val="21"/>
        </w:rPr>
        <w:t>の電波を</w:t>
      </w:r>
      <w:r w:rsidR="00B42B74" w:rsidRPr="00B42B74">
        <w:rPr>
          <w:rFonts w:hAnsi="ＭＳ 明朝" w:hint="eastAsia"/>
          <w:sz w:val="21"/>
          <w:szCs w:val="21"/>
        </w:rPr>
        <w:t>三・九―四世代移動通信システム又は第五世代移動通信システム</w:t>
      </w:r>
      <w:r w:rsidRPr="00DD4EF6">
        <w:rPr>
          <w:rFonts w:hAnsi="ＭＳ 明朝" w:hint="eastAsia"/>
          <w:sz w:val="21"/>
          <w:szCs w:val="21"/>
        </w:rPr>
        <w:t>に使用する場合</w:t>
      </w:r>
    </w:p>
    <w:p w:rsidR="00DD4EF6" w:rsidRPr="00DD4EF6" w:rsidRDefault="00DD4EF6" w:rsidP="004B4462">
      <w:pPr>
        <w:kinsoku w:val="0"/>
        <w:overflowPunct w:val="0"/>
        <w:autoSpaceDE w:val="0"/>
        <w:autoSpaceDN w:val="0"/>
        <w:ind w:leftChars="400" w:left="1170" w:hangingChars="100" w:hanging="210"/>
        <w:jc w:val="left"/>
        <w:rPr>
          <w:rFonts w:hAnsi="ＭＳ 明朝"/>
          <w:sz w:val="21"/>
          <w:szCs w:val="21"/>
        </w:rPr>
      </w:pPr>
      <w:r w:rsidRPr="00DD4EF6">
        <w:rPr>
          <w:rFonts w:hAnsi="ＭＳ 明朝" w:hint="eastAsia"/>
          <w:sz w:val="21"/>
          <w:szCs w:val="21"/>
        </w:rPr>
        <w:t>⑵</w:t>
      </w:r>
      <w:r>
        <w:rPr>
          <w:rFonts w:hAnsi="ＭＳ 明朝" w:hint="eastAsia"/>
          <w:sz w:val="21"/>
          <w:szCs w:val="21"/>
        </w:rPr>
        <w:t xml:space="preserve">　予定する周波数</w:t>
      </w:r>
      <w:r w:rsidRPr="00DD4EF6">
        <w:rPr>
          <w:rFonts w:hAnsi="ＭＳ 明朝" w:hint="eastAsia"/>
          <w:sz w:val="21"/>
          <w:szCs w:val="21"/>
        </w:rPr>
        <w:t>の電波を電波法第７条第２項第６号に規定する基幹放送に加えて基幹放送以外の無線通信の送信をする無線局の無線設備に使用する場合</w:t>
      </w:r>
    </w:p>
    <w:p w:rsidR="00DD4EF6" w:rsidRPr="00DD4EF6" w:rsidRDefault="00DD4EF6" w:rsidP="004B4462">
      <w:pPr>
        <w:tabs>
          <w:tab w:val="left" w:pos="0"/>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５　法第117条第１項の認定を受ける場合（電気通信事業の一部の認定を受ける場合に限る。）にあ</w:t>
      </w:r>
      <w:r w:rsidRPr="00DD4EF6">
        <w:rPr>
          <w:rFonts w:hAnsi="ＭＳ 明朝" w:hint="eastAsia"/>
          <w:sz w:val="21"/>
          <w:szCs w:val="21"/>
        </w:rPr>
        <w:lastRenderedPageBreak/>
        <w:t>つては、様式第38の８の２⑴の注に従い記載するとともに、同様式の２⑵の事項も併せて記載すること。</w:t>
      </w:r>
    </w:p>
    <w:p w:rsidR="00DD4EF6" w:rsidRPr="00DD4EF6" w:rsidRDefault="00DD4EF6" w:rsidP="004B4462">
      <w:pPr>
        <w:tabs>
          <w:tab w:val="left" w:pos="0"/>
          <w:tab w:val="left" w:pos="11232"/>
        </w:tabs>
        <w:kinsoku w:val="0"/>
        <w:overflowPunct w:val="0"/>
        <w:autoSpaceDE w:val="0"/>
        <w:autoSpaceDN w:val="0"/>
        <w:ind w:leftChars="300" w:left="720"/>
        <w:jc w:val="left"/>
        <w:rPr>
          <w:rFonts w:hAnsi="ＭＳ 明朝"/>
          <w:sz w:val="21"/>
          <w:szCs w:val="21"/>
        </w:rPr>
      </w:pPr>
      <w:r w:rsidRPr="00DD4EF6">
        <w:rPr>
          <w:rFonts w:hAnsi="ＭＳ 明朝" w:hint="eastAsia"/>
          <w:sz w:val="21"/>
          <w:szCs w:val="21"/>
        </w:rPr>
        <w:t>６　伝送路設備以外の電気通信設備の設置の区域は、都道府県を単位として記載すること。</w:t>
      </w:r>
    </w:p>
    <w:p w:rsidR="00DD4EF6" w:rsidRPr="00DD4EF6" w:rsidRDefault="00DD4EF6" w:rsidP="004B4462">
      <w:pPr>
        <w:tabs>
          <w:tab w:val="left" w:pos="0"/>
        </w:tabs>
        <w:autoSpaceDE w:val="0"/>
        <w:autoSpaceDN w:val="0"/>
        <w:ind w:leftChars="300" w:left="930" w:hangingChars="100" w:hanging="210"/>
        <w:jc w:val="left"/>
        <w:rPr>
          <w:rFonts w:hAnsi="ＭＳ 明朝"/>
          <w:sz w:val="21"/>
          <w:szCs w:val="21"/>
        </w:rPr>
      </w:pPr>
      <w:r w:rsidRPr="00DD4EF6">
        <w:rPr>
          <w:rFonts w:hAnsi="ＭＳ 明朝" w:hint="eastAsia"/>
          <w:sz w:val="21"/>
          <w:szCs w:val="21"/>
        </w:rPr>
        <w:t>７　伝送路設備以外の電気通信設備の種類は、「アナログ電話用設備」、「総合デジタル通信用設備」、「アナログ電話相当の機能を有するインターネットプロトコル電話</w:t>
      </w:r>
      <w:r w:rsidRPr="00AC4AD5">
        <w:rPr>
          <w:rFonts w:hAnsi="ＭＳ 明朝" w:hint="eastAsia"/>
          <w:sz w:val="21"/>
          <w:szCs w:val="21"/>
        </w:rPr>
        <w:t>用設備（</w:t>
      </w:r>
      <w:r w:rsidR="00205C99" w:rsidRPr="00AC4AD5">
        <w:rPr>
          <w:rFonts w:hAnsi="ＭＳ 明朝" w:hint="eastAsia"/>
          <w:sz w:val="21"/>
          <w:szCs w:val="21"/>
        </w:rPr>
        <w:t>電気通信番号規則別表第１号に掲げる固定電話番号を使用して</w:t>
      </w:r>
      <w:r w:rsidRPr="00AC4AD5">
        <w:rPr>
          <w:rFonts w:hAnsi="ＭＳ 明朝" w:hint="eastAsia"/>
          <w:sz w:val="21"/>
          <w:szCs w:val="21"/>
        </w:rPr>
        <w:t>電気通信役務を提供するインターネットプロトコル電話用設備をいう。以下同じ。）」、「携帯電話用設備又はＰＨＳ用設備」、「</w:t>
      </w:r>
      <w:r w:rsidRPr="00DD4EF6">
        <w:rPr>
          <w:rFonts w:hAnsi="ＭＳ 明朝" w:hint="eastAsia"/>
          <w:sz w:val="21"/>
          <w:szCs w:val="21"/>
        </w:rPr>
        <w:t>その他の電気通信設備（音声伝送役務の提供の用に供する事業用電気通信設備（アナログ電話用設備、総合デジタル通信用設備、アナログ電話相当の機能を有するインターネットプロトコル電話用設備、携帯電話用設備及びＰＨＳ用設備を除く。）をいう。）」又は「音声伝送役務の提供の用に供する事業用電気通信設備以外の事業用電気通信設備」の種別を記載すること。この場合において、これらの用語は、事業用電気通信設備規則（昭和60年郵政省令第30号）において使用する用語の例による。</w:t>
      </w: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５</w:t>
      </w:r>
      <w:r w:rsidR="00DD4EF6" w:rsidRPr="00DD4EF6">
        <w:rPr>
          <w:rFonts w:hAnsi="ＭＳ 明朝" w:hint="eastAsia"/>
          <w:sz w:val="21"/>
          <w:szCs w:val="21"/>
        </w:rPr>
        <w:t xml:space="preserve">　事業開始予定年月日</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注　業務区域によつて事業開始予定年月日が異なる場合は、当該業務区域ごとに記載すること。</w:t>
      </w:r>
    </w:p>
    <w:p w:rsidR="00DD4EF6" w:rsidRPr="00DD4EF6" w:rsidRDefault="00DD4EF6" w:rsidP="00DD4EF6">
      <w:pPr>
        <w:kinsoku w:val="0"/>
        <w:overflowPunct w:val="0"/>
        <w:autoSpaceDE w:val="0"/>
        <w:autoSpaceDN w:val="0"/>
        <w:jc w:val="left"/>
        <w:rPr>
          <w:rFonts w:hAnsi="ＭＳ 明朝"/>
          <w:sz w:val="21"/>
          <w:szCs w:val="21"/>
        </w:rPr>
      </w:pPr>
      <w:r w:rsidRPr="00DD4EF6">
        <w:rPr>
          <w:rFonts w:hAnsi="ＭＳ 明朝" w:hint="eastAsia"/>
          <w:sz w:val="21"/>
          <w:szCs w:val="21"/>
        </w:rPr>
        <w:t>注　用紙の大きさは、日本</w:t>
      </w:r>
      <w:r w:rsidR="0083041E">
        <w:rPr>
          <w:rFonts w:hAnsi="ＭＳ 明朝" w:hint="eastAsia"/>
          <w:sz w:val="21"/>
          <w:szCs w:val="21"/>
        </w:rPr>
        <w:t>産業</w:t>
      </w:r>
      <w:r w:rsidRPr="00DD4EF6">
        <w:rPr>
          <w:rFonts w:hAnsi="ＭＳ 明朝" w:hint="eastAsia"/>
          <w:sz w:val="21"/>
          <w:szCs w:val="21"/>
        </w:rPr>
        <w:t>規格Ａ列４番とすること。</w:t>
      </w:r>
    </w:p>
    <w:p w:rsidR="0088479F" w:rsidRDefault="0088479F" w:rsidP="00DD4EF6">
      <w:pPr>
        <w:pStyle w:val="a3"/>
        <w:tabs>
          <w:tab w:val="left" w:pos="0"/>
        </w:tabs>
        <w:kinsoku w:val="0"/>
        <w:overflowPunct w:val="0"/>
        <w:autoSpaceDE w:val="0"/>
        <w:autoSpaceDN w:val="0"/>
        <w:ind w:leftChars="0" w:left="0" w:rightChars="0" w:right="0"/>
        <w:jc w:val="left"/>
      </w:pPr>
    </w:p>
    <w:sectPr w:rsidR="0088479F">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FE" w:rsidRDefault="006311FE" w:rsidP="00C5513A">
      <w:r>
        <w:separator/>
      </w:r>
    </w:p>
  </w:endnote>
  <w:endnote w:type="continuationSeparator" w:id="0">
    <w:p w:rsidR="006311FE" w:rsidRDefault="006311FE"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7B" w:rsidRDefault="001319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7B" w:rsidRDefault="0013197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7B" w:rsidRDefault="001319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FE" w:rsidRDefault="006311FE" w:rsidP="00C5513A">
      <w:r>
        <w:separator/>
      </w:r>
    </w:p>
  </w:footnote>
  <w:footnote w:type="continuationSeparator" w:id="0">
    <w:p w:rsidR="006311FE" w:rsidRDefault="006311FE" w:rsidP="00C5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7B" w:rsidRDefault="0013197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7B" w:rsidRDefault="0013197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7B" w:rsidRDefault="0013197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3A"/>
    <w:rsid w:val="00005CA6"/>
    <w:rsid w:val="00024A0E"/>
    <w:rsid w:val="00027DB8"/>
    <w:rsid w:val="0013197B"/>
    <w:rsid w:val="00205C99"/>
    <w:rsid w:val="0027684C"/>
    <w:rsid w:val="00282746"/>
    <w:rsid w:val="004073CF"/>
    <w:rsid w:val="004B4462"/>
    <w:rsid w:val="006311FE"/>
    <w:rsid w:val="00632D9B"/>
    <w:rsid w:val="007C144E"/>
    <w:rsid w:val="0083041E"/>
    <w:rsid w:val="0088479F"/>
    <w:rsid w:val="00AC4AD5"/>
    <w:rsid w:val="00B42B74"/>
    <w:rsid w:val="00BE2EC9"/>
    <w:rsid w:val="00C23CF9"/>
    <w:rsid w:val="00C41237"/>
    <w:rsid w:val="00C5513A"/>
    <w:rsid w:val="00DC61D2"/>
    <w:rsid w:val="00DD4EF6"/>
    <w:rsid w:val="00DF4D31"/>
    <w:rsid w:val="00F8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2021-03-14T11:50:00Z</dcterms:created>
  <dcterms:modified xsi:type="dcterms:W3CDTF">2021-03-14T11:50:00Z</dcterms:modified>
</cp:coreProperties>
</file>