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C71" w:rsidRDefault="00D76370">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bookmarkStart w:id="0" w:name="_GoBack"/>
      <w:bookmarkEnd w:id="0"/>
      <w:r>
        <w:rPr>
          <w:rFonts w:ascii="Century" w:eastAsia="ＭＳ 明朝" w:hAnsi="ＭＳ 明朝" w:cs="ＭＳ 明朝" w:hint="eastAsia"/>
          <w:color w:val="000000"/>
          <w:kern w:val="0"/>
          <w:szCs w:val="21"/>
        </w:rPr>
        <w:t>○平成十一年郵政省告示第百六十一号（</w:t>
      </w:r>
      <w:r w:rsidR="00336150" w:rsidRPr="00336150">
        <w:rPr>
          <w:rFonts w:ascii="Century" w:eastAsia="ＭＳ 明朝" w:hAnsi="ＭＳ 明朝" w:cs="ＭＳ 明朝" w:hint="eastAsia"/>
          <w:color w:val="000000"/>
          <w:kern w:val="0"/>
          <w:szCs w:val="21"/>
        </w:rPr>
        <w:t>総合デジタル通信端末の電気的条件及び光学的条件を定める件</w:t>
      </w:r>
      <w:r>
        <w:rPr>
          <w:rFonts w:ascii="Century" w:eastAsia="ＭＳ 明朝" w:hAnsi="ＭＳ 明朝" w:cs="ＭＳ 明朝" w:hint="eastAsia"/>
          <w:color w:val="000000"/>
          <w:kern w:val="0"/>
          <w:szCs w:val="21"/>
        </w:rPr>
        <w:t>）</w:t>
      </w:r>
    </w:p>
    <w:p w:rsidR="00634C71" w:rsidRDefault="00D76370">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（平成十一年三月五日）</w:t>
      </w:r>
    </w:p>
    <w:p w:rsidR="00634C71" w:rsidRDefault="00D76370">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（郵政省告示第百六十一号）</w:t>
      </w:r>
    </w:p>
    <w:p w:rsidR="00634C71" w:rsidRDefault="00D76370">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端末設備等規則（昭和六十年郵政省令第三十一号）第三十四条の四の規定に基づき、総合デジタル通信端末の電気的条件及び光学的条件を次のように定める。</w:t>
      </w:r>
    </w:p>
    <w:p w:rsidR="00634C71" w:rsidRDefault="00D76370">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　メタリック伝送路インタフェースの総合デジタル通信端末は、別表第一号の条件とする。</w:t>
      </w:r>
    </w:p>
    <w:p w:rsidR="00634C71" w:rsidRDefault="00D76370">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　光伝送路インタフェースの総合デジタル通信端末は、別表第二号の条件とする。</w:t>
      </w:r>
    </w:p>
    <w:p w:rsidR="00634C71" w:rsidRDefault="00D76370">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別表第一号　メタリック伝送路インタフェースの総合デジタル通信端末</w:t>
      </w:r>
    </w:p>
    <w:tbl>
      <w:tblPr>
        <w:tblW w:w="0" w:type="auto"/>
        <w:tblInd w:w="10" w:type="dxa"/>
        <w:tblLayout w:type="fixed"/>
        <w:tblCellMar>
          <w:left w:w="0" w:type="dxa"/>
          <w:right w:w="0" w:type="dxa"/>
        </w:tblCellMar>
        <w:tblLook w:val="0000" w:firstRow="0" w:lastRow="0" w:firstColumn="0" w:lastColumn="0" w:noHBand="0" w:noVBand="0"/>
      </w:tblPr>
      <w:tblGrid>
        <w:gridCol w:w="2351"/>
        <w:gridCol w:w="4366"/>
      </w:tblGrid>
      <w:tr w:rsidR="00634C71">
        <w:tc>
          <w:tcPr>
            <w:tcW w:w="2351" w:type="dxa"/>
            <w:tcBorders>
              <w:top w:val="single" w:sz="8" w:space="0" w:color="000000"/>
              <w:left w:val="single" w:sz="8" w:space="0" w:color="000000"/>
              <w:bottom w:val="single" w:sz="8" w:space="0" w:color="000000"/>
              <w:right w:val="single" w:sz="8" w:space="0" w:color="000000"/>
            </w:tcBorders>
            <w:textDirection w:val="lrTbV"/>
          </w:tcPr>
          <w:p w:rsidR="00634C71" w:rsidRDefault="00D76370">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インタフェースの種類</w:t>
            </w:r>
          </w:p>
        </w:tc>
        <w:tc>
          <w:tcPr>
            <w:tcW w:w="4366" w:type="dxa"/>
            <w:tcBorders>
              <w:top w:val="single" w:sz="8" w:space="0" w:color="000000"/>
              <w:left w:val="nil"/>
              <w:bottom w:val="single" w:sz="8" w:space="0" w:color="000000"/>
              <w:right w:val="single" w:sz="8" w:space="0" w:color="000000"/>
            </w:tcBorders>
            <w:textDirection w:val="lrTbV"/>
          </w:tcPr>
          <w:p w:rsidR="00634C71" w:rsidRDefault="00D76370">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電気的条件</w:t>
            </w:r>
          </w:p>
        </w:tc>
      </w:tr>
      <w:tr w:rsidR="00634C71">
        <w:tc>
          <w:tcPr>
            <w:tcW w:w="2351" w:type="dxa"/>
            <w:tcBorders>
              <w:top w:val="nil"/>
              <w:left w:val="single" w:sz="8" w:space="0" w:color="000000"/>
              <w:bottom w:val="single" w:sz="8" w:space="0" w:color="000000"/>
              <w:right w:val="single" w:sz="8" w:space="0" w:color="000000"/>
            </w:tcBorders>
            <w:textDirection w:val="lrTbV"/>
          </w:tcPr>
          <w:p w:rsidR="00634C71" w:rsidRDefault="00D76370">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ITU</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T</w:t>
            </w:r>
            <w:r>
              <w:rPr>
                <w:rFonts w:ascii="Century" w:eastAsia="ＭＳ 明朝" w:hAnsi="ＭＳ 明朝" w:cs="ＭＳ 明朝" w:hint="eastAsia"/>
                <w:color w:val="000000"/>
                <w:kern w:val="0"/>
                <w:szCs w:val="21"/>
              </w:rPr>
              <w:t>勧告</w:t>
            </w:r>
            <w:r>
              <w:rPr>
                <w:rFonts w:ascii="Century" w:eastAsia="ＭＳ 明朝" w:hAnsi="ＭＳ 明朝" w:cs="ＭＳ 明朝"/>
                <w:color w:val="000000"/>
                <w:kern w:val="0"/>
                <w:szCs w:val="21"/>
              </w:rPr>
              <w:t>G.961Appendix</w:t>
            </w:r>
            <w:r>
              <w:rPr>
                <w:rFonts w:ascii="Century" w:eastAsia="ＭＳ 明朝" w:hAnsi="ＭＳ 明朝" w:cs="ＭＳ 明朝" w:hint="eastAsia"/>
                <w:color w:val="000000"/>
                <w:kern w:val="0"/>
                <w:szCs w:val="21"/>
              </w:rPr>
              <w:t>Ⅲ（</w:t>
            </w:r>
            <w:r>
              <w:rPr>
                <w:rFonts w:ascii="Century" w:eastAsia="ＭＳ 明朝" w:hAnsi="ＭＳ 明朝" w:cs="ＭＳ 明朝"/>
                <w:color w:val="000000"/>
                <w:kern w:val="0"/>
                <w:szCs w:val="21"/>
              </w:rPr>
              <w:t>TCM</w:t>
            </w:r>
            <w:r>
              <w:rPr>
                <w:rFonts w:ascii="Century" w:eastAsia="ＭＳ 明朝" w:hAnsi="ＭＳ 明朝" w:cs="ＭＳ 明朝" w:hint="eastAsia"/>
                <w:color w:val="000000"/>
                <w:kern w:val="0"/>
                <w:szCs w:val="21"/>
              </w:rPr>
              <w:t>方式）</w:t>
            </w:r>
          </w:p>
        </w:tc>
        <w:tc>
          <w:tcPr>
            <w:tcW w:w="4366" w:type="dxa"/>
            <w:tcBorders>
              <w:top w:val="nil"/>
              <w:left w:val="nil"/>
              <w:bottom w:val="single" w:sz="8" w:space="0" w:color="000000"/>
              <w:right w:val="single" w:sz="8" w:space="0" w:color="000000"/>
            </w:tcBorders>
            <w:textDirection w:val="lrTbV"/>
          </w:tcPr>
          <w:p w:rsidR="00634C71" w:rsidRDefault="00D76370">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110</w:t>
            </w:r>
            <w:r>
              <w:rPr>
                <w:rFonts w:ascii="Century" w:eastAsia="ＭＳ 明朝" w:hAnsi="ＭＳ 明朝" w:cs="ＭＳ 明朝" w:hint="eastAsia"/>
                <w:color w:val="000000"/>
                <w:kern w:val="0"/>
                <w:szCs w:val="21"/>
              </w:rPr>
              <w:t>Ωの負荷抵抗に対して、７</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２</w:t>
            </w:r>
            <w:r>
              <w:rPr>
                <w:rFonts w:ascii="Century" w:eastAsia="ＭＳ 明朝" w:hAnsi="ＭＳ 明朝" w:cs="ＭＳ 明朝"/>
                <w:color w:val="000000"/>
                <w:kern w:val="0"/>
                <w:szCs w:val="21"/>
              </w:rPr>
              <w:t>V</w:t>
            </w:r>
            <w:r>
              <w:rPr>
                <w:rFonts w:ascii="Century" w:eastAsia="ＭＳ 明朝" w:hAnsi="ＭＳ 明朝" w:cs="ＭＳ 明朝" w:hint="eastAsia"/>
                <w:color w:val="000000"/>
                <w:kern w:val="0"/>
                <w:szCs w:val="21"/>
              </w:rPr>
              <w:t>（０－</w:t>
            </w:r>
            <w:r>
              <w:rPr>
                <w:rFonts w:ascii="Century" w:eastAsia="ＭＳ 明朝" w:hAnsi="ＭＳ 明朝" w:cs="ＭＳ 明朝"/>
                <w:color w:val="000000"/>
                <w:kern w:val="0"/>
                <w:szCs w:val="21"/>
              </w:rPr>
              <w:t>P</w:t>
            </w:r>
            <w:r>
              <w:rPr>
                <w:rFonts w:ascii="Century" w:eastAsia="ＭＳ 明朝" w:hAnsi="ＭＳ 明朝" w:cs="ＭＳ 明朝" w:hint="eastAsia"/>
                <w:color w:val="000000"/>
                <w:kern w:val="0"/>
                <w:szCs w:val="21"/>
              </w:rPr>
              <w:t>）以下（孤立パルス中央値（時間軸方向））</w:t>
            </w:r>
          </w:p>
        </w:tc>
      </w:tr>
      <w:tr w:rsidR="00634C71">
        <w:tc>
          <w:tcPr>
            <w:tcW w:w="2351" w:type="dxa"/>
            <w:tcBorders>
              <w:top w:val="nil"/>
              <w:left w:val="single" w:sz="8" w:space="0" w:color="000000"/>
              <w:bottom w:val="single" w:sz="8" w:space="0" w:color="000000"/>
              <w:right w:val="single" w:sz="8" w:space="0" w:color="000000"/>
            </w:tcBorders>
            <w:textDirection w:val="lrTbV"/>
          </w:tcPr>
          <w:p w:rsidR="00634C71" w:rsidRDefault="00D76370">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ITU</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T</w:t>
            </w:r>
            <w:r>
              <w:rPr>
                <w:rFonts w:ascii="Century" w:eastAsia="ＭＳ 明朝" w:hAnsi="ＭＳ 明朝" w:cs="ＭＳ 明朝" w:hint="eastAsia"/>
                <w:color w:val="000000"/>
                <w:kern w:val="0"/>
                <w:szCs w:val="21"/>
              </w:rPr>
              <w:t>勧告</w:t>
            </w:r>
            <w:r>
              <w:rPr>
                <w:rFonts w:ascii="Century" w:eastAsia="ＭＳ 明朝" w:hAnsi="ＭＳ 明朝" w:cs="ＭＳ 明朝"/>
                <w:color w:val="000000"/>
                <w:kern w:val="0"/>
                <w:szCs w:val="21"/>
              </w:rPr>
              <w:t>G.961Appendix</w:t>
            </w:r>
            <w:r>
              <w:rPr>
                <w:rFonts w:ascii="Century" w:eastAsia="ＭＳ 明朝" w:hAnsi="ＭＳ 明朝" w:cs="ＭＳ 明朝" w:hint="eastAsia"/>
                <w:color w:val="000000"/>
                <w:kern w:val="0"/>
                <w:szCs w:val="21"/>
              </w:rPr>
              <w:t>Ⅱ（</w:t>
            </w:r>
            <w:r>
              <w:rPr>
                <w:rFonts w:ascii="Century" w:eastAsia="ＭＳ 明朝" w:hAnsi="ＭＳ 明朝" w:cs="ＭＳ 明朝"/>
                <w:color w:val="000000"/>
                <w:kern w:val="0"/>
                <w:szCs w:val="21"/>
              </w:rPr>
              <w:t>EC</w:t>
            </w:r>
            <w:r>
              <w:rPr>
                <w:rFonts w:ascii="Century" w:eastAsia="ＭＳ 明朝" w:hAnsi="ＭＳ 明朝" w:cs="ＭＳ 明朝" w:hint="eastAsia"/>
                <w:color w:val="000000"/>
                <w:kern w:val="0"/>
                <w:szCs w:val="21"/>
              </w:rPr>
              <w:t>方式）</w:t>
            </w:r>
          </w:p>
        </w:tc>
        <w:tc>
          <w:tcPr>
            <w:tcW w:w="4366" w:type="dxa"/>
            <w:tcBorders>
              <w:top w:val="nil"/>
              <w:left w:val="nil"/>
              <w:bottom w:val="single" w:sz="8" w:space="0" w:color="000000"/>
              <w:right w:val="single" w:sz="8" w:space="0" w:color="000000"/>
            </w:tcBorders>
            <w:textDirection w:val="lrTbV"/>
          </w:tcPr>
          <w:p w:rsidR="00634C71" w:rsidRDefault="00D76370">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135</w:t>
            </w:r>
            <w:r>
              <w:rPr>
                <w:rFonts w:ascii="Century" w:eastAsia="ＭＳ 明朝" w:hAnsi="ＭＳ 明朝" w:cs="ＭＳ 明朝" w:hint="eastAsia"/>
                <w:color w:val="000000"/>
                <w:kern w:val="0"/>
                <w:szCs w:val="21"/>
              </w:rPr>
              <w:t>Ωの負荷抵抗に対して、２</w:t>
            </w:r>
            <w:r>
              <w:rPr>
                <w:rFonts w:ascii="Century" w:eastAsia="ＭＳ 明朝" w:hAnsi="ＭＳ 明朝" w:cs="ＭＳ 明朝"/>
                <w:color w:val="000000"/>
                <w:kern w:val="0"/>
                <w:szCs w:val="21"/>
              </w:rPr>
              <w:t>.625V</w:t>
            </w:r>
            <w:r>
              <w:rPr>
                <w:rFonts w:ascii="Century" w:eastAsia="ＭＳ 明朝" w:hAnsi="ＭＳ 明朝" w:cs="ＭＳ 明朝" w:hint="eastAsia"/>
                <w:color w:val="000000"/>
                <w:kern w:val="0"/>
                <w:szCs w:val="21"/>
              </w:rPr>
              <w:t>（０－</w:t>
            </w:r>
            <w:r>
              <w:rPr>
                <w:rFonts w:ascii="Century" w:eastAsia="ＭＳ 明朝" w:hAnsi="ＭＳ 明朝" w:cs="ＭＳ 明朝"/>
                <w:color w:val="000000"/>
                <w:kern w:val="0"/>
                <w:szCs w:val="21"/>
              </w:rPr>
              <w:t>P</w:t>
            </w:r>
            <w:r>
              <w:rPr>
                <w:rFonts w:ascii="Century" w:eastAsia="ＭＳ 明朝" w:hAnsi="ＭＳ 明朝" w:cs="ＭＳ 明朝" w:hint="eastAsia"/>
                <w:color w:val="000000"/>
                <w:kern w:val="0"/>
                <w:szCs w:val="21"/>
              </w:rPr>
              <w:t>）以下</w:t>
            </w:r>
          </w:p>
        </w:tc>
      </w:tr>
    </w:tbl>
    <w:p w:rsidR="00634C71" w:rsidRDefault="00D76370">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別表第二号　光伝送路インタフェースの総合デジタル通信端末</w:t>
      </w:r>
    </w:p>
    <w:tbl>
      <w:tblPr>
        <w:tblW w:w="0" w:type="auto"/>
        <w:tblInd w:w="10" w:type="dxa"/>
        <w:tblLayout w:type="fixed"/>
        <w:tblCellMar>
          <w:left w:w="0" w:type="dxa"/>
          <w:right w:w="0" w:type="dxa"/>
        </w:tblCellMar>
        <w:tblLook w:val="0000" w:firstRow="0" w:lastRow="0" w:firstColumn="0" w:lastColumn="0" w:noHBand="0" w:noVBand="0"/>
      </w:tblPr>
      <w:tblGrid>
        <w:gridCol w:w="2351"/>
        <w:gridCol w:w="4366"/>
      </w:tblGrid>
      <w:tr w:rsidR="00634C71">
        <w:tc>
          <w:tcPr>
            <w:tcW w:w="2351" w:type="dxa"/>
            <w:tcBorders>
              <w:top w:val="single" w:sz="8" w:space="0" w:color="000000"/>
              <w:left w:val="single" w:sz="8" w:space="0" w:color="000000"/>
              <w:bottom w:val="single" w:sz="8" w:space="0" w:color="000000"/>
              <w:right w:val="single" w:sz="8" w:space="0" w:color="000000"/>
            </w:tcBorders>
            <w:textDirection w:val="lrTbV"/>
          </w:tcPr>
          <w:p w:rsidR="00634C71" w:rsidRDefault="00D76370">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インタフェースの種類</w:t>
            </w:r>
          </w:p>
        </w:tc>
        <w:tc>
          <w:tcPr>
            <w:tcW w:w="4366" w:type="dxa"/>
            <w:tcBorders>
              <w:top w:val="single" w:sz="8" w:space="0" w:color="000000"/>
              <w:left w:val="nil"/>
              <w:bottom w:val="single" w:sz="8" w:space="0" w:color="000000"/>
              <w:right w:val="single" w:sz="8" w:space="0" w:color="000000"/>
            </w:tcBorders>
            <w:textDirection w:val="lrTbV"/>
          </w:tcPr>
          <w:p w:rsidR="00634C71" w:rsidRDefault="00D76370">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光学的条件</w:t>
            </w:r>
          </w:p>
        </w:tc>
      </w:tr>
      <w:tr w:rsidR="00634C71">
        <w:tc>
          <w:tcPr>
            <w:tcW w:w="2351" w:type="dxa"/>
            <w:tcBorders>
              <w:top w:val="nil"/>
              <w:left w:val="single" w:sz="8" w:space="0" w:color="000000"/>
              <w:bottom w:val="single" w:sz="8" w:space="0" w:color="000000"/>
              <w:right w:val="single" w:sz="8" w:space="0" w:color="000000"/>
            </w:tcBorders>
            <w:textDirection w:val="lrTbV"/>
          </w:tcPr>
          <w:p w:rsidR="00634C71" w:rsidRDefault="00D76370">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光伝送路インタフェース</w:t>
            </w:r>
          </w:p>
        </w:tc>
        <w:tc>
          <w:tcPr>
            <w:tcW w:w="4366" w:type="dxa"/>
            <w:tcBorders>
              <w:top w:val="nil"/>
              <w:left w:val="nil"/>
              <w:bottom w:val="single" w:sz="8" w:space="0" w:color="000000"/>
              <w:right w:val="single" w:sz="8" w:space="0" w:color="000000"/>
            </w:tcBorders>
            <w:textDirection w:val="lrTbV"/>
          </w:tcPr>
          <w:p w:rsidR="00634C71" w:rsidRDefault="00D76370">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－７</w:t>
            </w:r>
            <w:r>
              <w:rPr>
                <w:rFonts w:ascii="Century" w:eastAsia="ＭＳ 明朝" w:hAnsi="ＭＳ 明朝" w:cs="ＭＳ 明朝"/>
                <w:color w:val="000000"/>
                <w:kern w:val="0"/>
                <w:szCs w:val="21"/>
              </w:rPr>
              <w:t>dBm</w:t>
            </w:r>
            <w:r>
              <w:rPr>
                <w:rFonts w:ascii="Century" w:eastAsia="ＭＳ 明朝" w:hAnsi="ＭＳ 明朝" w:cs="ＭＳ 明朝" w:hint="eastAsia"/>
                <w:color w:val="000000"/>
                <w:kern w:val="0"/>
                <w:szCs w:val="21"/>
              </w:rPr>
              <w:t>（平均レベル）以下</w:t>
            </w:r>
          </w:p>
        </w:tc>
      </w:tr>
    </w:tbl>
    <w:p w:rsidR="00D76370" w:rsidRDefault="00D76370">
      <w:pPr>
        <w:autoSpaceDE w:val="0"/>
        <w:autoSpaceDN w:val="0"/>
        <w:adjustRightInd w:val="0"/>
        <w:spacing w:line="420" w:lineRule="atLeast"/>
        <w:jc w:val="left"/>
        <w:rPr>
          <w:rFonts w:ascii="Century" w:eastAsia="ＭＳ 明朝" w:hAnsi="ＭＳ 明朝" w:cs="ＭＳ 明朝"/>
          <w:color w:val="000000"/>
          <w:kern w:val="0"/>
          <w:szCs w:val="21"/>
        </w:rPr>
      </w:pPr>
      <w:bookmarkStart w:id="1" w:name="last"/>
      <w:bookmarkEnd w:id="1"/>
    </w:p>
    <w:sectPr w:rsidR="00D76370">
      <w:footerReference w:type="default" r:id="rId6"/>
      <w:pgSz w:w="16837" w:h="11905" w:orient="landscape"/>
      <w:pgMar w:top="1417" w:right="1417" w:bottom="1417" w:left="1417" w:header="720" w:footer="720" w:gutter="0"/>
      <w:cols w:num="2" w:space="720"/>
      <w:noEndnote/>
      <w:textDirection w:val="lrTbV"/>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3512" w:rsidRDefault="00973512">
      <w:r>
        <w:separator/>
      </w:r>
    </w:p>
  </w:endnote>
  <w:endnote w:type="continuationSeparator" w:id="0">
    <w:p w:rsidR="00973512" w:rsidRDefault="00973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C71" w:rsidRDefault="00D76370">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pgNum/>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sidR="00E226D0">
      <w:rPr>
        <w:rFonts w:ascii="Century" w:eastAsia="ＭＳ 明朝" w:hAnsi="ＭＳ 明朝" w:cs="ＭＳ 明朝"/>
        <w:noProof/>
        <w:color w:val="000000"/>
        <w:kern w:val="0"/>
        <w:szCs w:val="21"/>
      </w:rPr>
      <w:t>1</w:t>
    </w:r>
    <w:r>
      <w:rPr>
        <w:rFonts w:ascii="Century" w:eastAsia="ＭＳ 明朝" w:hAnsi="ＭＳ 明朝" w:cs="ＭＳ 明朝"/>
        <w:color w:val="000000"/>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3512" w:rsidRDefault="00973512">
      <w:r>
        <w:separator/>
      </w:r>
    </w:p>
  </w:footnote>
  <w:footnote w:type="continuationSeparator" w:id="0">
    <w:p w:rsidR="00973512" w:rsidRDefault="009735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AEB"/>
    <w:rsid w:val="00336150"/>
    <w:rsid w:val="00634C71"/>
    <w:rsid w:val="00773561"/>
    <w:rsid w:val="00973512"/>
    <w:rsid w:val="00C55AEB"/>
    <w:rsid w:val="00D76370"/>
    <w:rsid w:val="00E226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26D0"/>
    <w:pPr>
      <w:tabs>
        <w:tab w:val="center" w:pos="4252"/>
        <w:tab w:val="right" w:pos="8504"/>
      </w:tabs>
      <w:snapToGrid w:val="0"/>
    </w:pPr>
  </w:style>
  <w:style w:type="character" w:customStyle="1" w:styleId="a4">
    <w:name w:val="ヘッダー (文字)"/>
    <w:basedOn w:val="a0"/>
    <w:link w:val="a3"/>
    <w:uiPriority w:val="99"/>
    <w:rsid w:val="00E226D0"/>
  </w:style>
  <w:style w:type="paragraph" w:styleId="a5">
    <w:name w:val="footer"/>
    <w:basedOn w:val="a"/>
    <w:link w:val="a6"/>
    <w:uiPriority w:val="99"/>
    <w:unhideWhenUsed/>
    <w:rsid w:val="00E226D0"/>
    <w:pPr>
      <w:tabs>
        <w:tab w:val="center" w:pos="4252"/>
        <w:tab w:val="right" w:pos="8504"/>
      </w:tabs>
      <w:snapToGrid w:val="0"/>
    </w:pPr>
  </w:style>
  <w:style w:type="character" w:customStyle="1" w:styleId="a6">
    <w:name w:val="フッター (文字)"/>
    <w:basedOn w:val="a0"/>
    <w:link w:val="a5"/>
    <w:uiPriority w:val="99"/>
    <w:rsid w:val="00E226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416</Words>
  <Characters>69</Characters>
  <Application>Microsoft Office Word</Application>
  <DocSecurity>0</DocSecurity>
  <Lines>1</Lines>
  <Paragraphs>1</Paragraphs>
  <ScaleCrop>false</ScaleCrop>
  <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2023-11-28T07:57:00Z</dcterms:created>
  <dcterms:modified xsi:type="dcterms:W3CDTF">2023-11-28T07:57:00Z</dcterms:modified>
</cp:coreProperties>
</file>